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rFonts w:ascii="仿宋" w:hAnsi="仿宋" w:eastAsia="仿宋"/>
          <w:b/>
          <w:sz w:val="52"/>
          <w:szCs w:val="52"/>
        </w:rPr>
      </w:pPr>
      <w:r>
        <w:rPr>
          <w:rFonts w:ascii="仿宋" w:hAnsi="仿宋" w:eastAsia="仿宋"/>
          <w:b/>
          <w:sz w:val="52"/>
          <w:szCs w:val="52"/>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3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项目名称：鄂尔多斯国际机场航站楼绿植租摆养护服务及采购项目</w:t>
      </w:r>
    </w:p>
    <w:p>
      <w:pPr>
        <w:jc w:val="center"/>
        <w:rPr>
          <w:rFonts w:ascii="仿宋" w:hAnsi="仿宋" w:eastAsia="仿宋"/>
          <w:b/>
          <w:sz w:val="44"/>
          <w:szCs w:val="44"/>
        </w:rPr>
      </w:pPr>
      <w:r>
        <w:rPr>
          <w:rFonts w:hint="eastAsia" w:ascii="仿宋" w:hAnsi="仿宋" w:eastAsia="仿宋"/>
          <w:b/>
          <w:sz w:val="44"/>
          <w:szCs w:val="44"/>
        </w:rPr>
        <w:t>项目编号：CG/SYGS-19-002-N</w:t>
      </w:r>
    </w:p>
    <w:p>
      <w:pPr>
        <w:widowControl/>
        <w:jc w:val="center"/>
        <w:rPr>
          <w:rFonts w:ascii="方正小标宋简体" w:hAnsi="仿宋" w:eastAsia="方正小标宋简体"/>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pStyle w:val="8"/>
        <w:tabs>
          <w:tab w:val="right" w:leader="dot" w:pos="9742"/>
        </w:tabs>
        <w:rPr>
          <w:rFonts w:ascii="仿宋_GB2312" w:eastAsia="仿宋_GB2312" w:hAnsiTheme="minorHAnsi" w:cstheme="minorBidi"/>
          <w:sz w:val="32"/>
          <w:szCs w:val="32"/>
        </w:rPr>
      </w:pPr>
      <w:r>
        <w:rPr>
          <w:rFonts w:hint="eastAsia" w:ascii="仿宋_GB2312" w:hAnsi="仿宋" w:eastAsia="仿宋_GB2312"/>
          <w:snapToGrid w:val="0"/>
          <w:w w:val="80"/>
          <w:kern w:val="0"/>
          <w:sz w:val="32"/>
          <w:szCs w:val="32"/>
        </w:rPr>
        <w:fldChar w:fldCharType="begin"/>
      </w:r>
      <w:r>
        <w:rPr>
          <w:rFonts w:hint="eastAsia" w:ascii="仿宋_GB2312" w:hAnsi="仿宋" w:eastAsia="仿宋_GB2312"/>
          <w:snapToGrid w:val="0"/>
          <w:w w:val="80"/>
          <w:kern w:val="0"/>
          <w:sz w:val="32"/>
          <w:szCs w:val="32"/>
        </w:rPr>
        <w:instrText xml:space="preserve"> TOC \o "1-3" \h \z \u </w:instrText>
      </w:r>
      <w:r>
        <w:rPr>
          <w:rFonts w:hint="eastAsia" w:ascii="仿宋_GB2312" w:hAnsi="仿宋" w:eastAsia="仿宋_GB2312"/>
          <w:snapToGrid w:val="0"/>
          <w:w w:val="80"/>
          <w:kern w:val="0"/>
          <w:sz w:val="32"/>
          <w:szCs w:val="32"/>
        </w:rPr>
        <w:fldChar w:fldCharType="separate"/>
      </w:r>
      <w:r>
        <w:fldChar w:fldCharType="begin"/>
      </w:r>
      <w:r>
        <w:instrText xml:space="preserve"> HYPERLINK \l "_Toc2950381" </w:instrText>
      </w:r>
      <w:r>
        <w:fldChar w:fldCharType="separate"/>
      </w:r>
      <w:r>
        <w:rPr>
          <w:rStyle w:val="13"/>
          <w:rFonts w:hint="eastAsia" w:ascii="仿宋_GB2312" w:hAnsi="仿宋" w:eastAsia="仿宋_GB2312"/>
          <w:sz w:val="32"/>
          <w:szCs w:val="32"/>
        </w:rPr>
        <w:t>第一章 竞争性磋商公告</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_Toc2950381 \h </w:instrText>
      </w:r>
      <w:r>
        <w:rPr>
          <w:rFonts w:hint="eastAsia" w:ascii="仿宋_GB2312" w:eastAsia="仿宋_GB2312"/>
          <w:sz w:val="32"/>
          <w:szCs w:val="32"/>
        </w:rPr>
        <w:fldChar w:fldCharType="separate"/>
      </w:r>
      <w:r>
        <w:rPr>
          <w:rFonts w:hint="eastAsia" w:ascii="仿宋_GB2312" w:eastAsia="仿宋_GB2312"/>
          <w:sz w:val="32"/>
          <w:szCs w:val="32"/>
        </w:rPr>
        <w:t>2</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"_Toc2950382" </w:instrText>
      </w:r>
      <w:r>
        <w:fldChar w:fldCharType="separate"/>
      </w:r>
      <w:r>
        <w:rPr>
          <w:rStyle w:val="13"/>
          <w:rFonts w:hint="eastAsia" w:ascii="仿宋_GB2312" w:hAnsi="仿宋" w:eastAsia="仿宋_GB2312"/>
          <w:sz w:val="32"/>
          <w:szCs w:val="32"/>
        </w:rPr>
        <w:t>一、项目概况</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_Toc2950382 \h </w:instrText>
      </w:r>
      <w:r>
        <w:rPr>
          <w:rFonts w:hint="eastAsia" w:ascii="仿宋_GB2312" w:eastAsia="仿宋_GB2312"/>
          <w:sz w:val="32"/>
          <w:szCs w:val="32"/>
        </w:rPr>
        <w:fldChar w:fldCharType="separate"/>
      </w:r>
      <w:r>
        <w:rPr>
          <w:rFonts w:hint="eastAsia" w:ascii="仿宋_GB2312" w:eastAsia="仿宋_GB2312"/>
          <w:sz w:val="32"/>
          <w:szCs w:val="32"/>
        </w:rPr>
        <w:t>2</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"_Toc2950383" </w:instrText>
      </w:r>
      <w:r>
        <w:fldChar w:fldCharType="separate"/>
      </w:r>
      <w:r>
        <w:rPr>
          <w:rStyle w:val="13"/>
          <w:rFonts w:hint="eastAsia" w:ascii="仿宋_GB2312" w:hAnsi="仿宋" w:eastAsia="仿宋_GB2312"/>
          <w:sz w:val="32"/>
          <w:szCs w:val="32"/>
        </w:rPr>
        <w:t>二、供应商的资格要求</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_Toc2950383 \h </w:instrText>
      </w:r>
      <w:r>
        <w:rPr>
          <w:rFonts w:hint="eastAsia" w:ascii="仿宋_GB2312" w:eastAsia="仿宋_GB2312"/>
          <w:sz w:val="32"/>
          <w:szCs w:val="32"/>
        </w:rPr>
        <w:fldChar w:fldCharType="separate"/>
      </w:r>
      <w:r>
        <w:rPr>
          <w:rFonts w:hint="eastAsia" w:ascii="仿宋_GB2312" w:eastAsia="仿宋_GB2312"/>
          <w:sz w:val="32"/>
          <w:szCs w:val="32"/>
        </w:rPr>
        <w:t>3</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"_Toc2950384" </w:instrText>
      </w:r>
      <w:r>
        <w:fldChar w:fldCharType="separate"/>
      </w:r>
      <w:r>
        <w:rPr>
          <w:rStyle w:val="13"/>
          <w:rFonts w:hint="eastAsia" w:ascii="仿宋_GB2312" w:hAnsi="仿宋" w:eastAsia="仿宋_GB2312"/>
          <w:sz w:val="32"/>
          <w:szCs w:val="32"/>
        </w:rPr>
        <w:t>三、获取采购文件的时间、地点、方式</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_Toc2950384 \h </w:instrText>
      </w:r>
      <w:r>
        <w:rPr>
          <w:rFonts w:hint="eastAsia" w:ascii="仿宋_GB2312" w:eastAsia="仿宋_GB2312"/>
          <w:sz w:val="32"/>
          <w:szCs w:val="32"/>
        </w:rPr>
        <w:fldChar w:fldCharType="separate"/>
      </w:r>
      <w:r>
        <w:rPr>
          <w:rFonts w:hint="eastAsia" w:ascii="仿宋_GB2312" w:eastAsia="仿宋_GB2312"/>
          <w:sz w:val="32"/>
          <w:szCs w:val="32"/>
        </w:rPr>
        <w:t>3</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"_Toc2950385" </w:instrText>
      </w:r>
      <w:r>
        <w:fldChar w:fldCharType="separate"/>
      </w:r>
      <w:r>
        <w:rPr>
          <w:rStyle w:val="13"/>
          <w:rFonts w:hint="eastAsia" w:ascii="仿宋_GB2312" w:hAnsi="仿宋" w:eastAsia="仿宋_GB2312"/>
          <w:sz w:val="32"/>
          <w:szCs w:val="32"/>
        </w:rPr>
        <w:t>四、递交响应文件截止（评标）时间、地点</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_Toc2950385 \h </w:instrText>
      </w:r>
      <w:r>
        <w:rPr>
          <w:rFonts w:hint="eastAsia" w:ascii="仿宋_GB2312" w:eastAsia="仿宋_GB2312"/>
          <w:sz w:val="32"/>
          <w:szCs w:val="32"/>
        </w:rPr>
        <w:fldChar w:fldCharType="separate"/>
      </w:r>
      <w:r>
        <w:rPr>
          <w:rFonts w:hint="eastAsia" w:ascii="仿宋_GB2312" w:eastAsia="仿宋_GB2312"/>
          <w:sz w:val="32"/>
          <w:szCs w:val="32"/>
        </w:rPr>
        <w:t>3</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"_Toc2950386" </w:instrText>
      </w:r>
      <w:r>
        <w:fldChar w:fldCharType="separate"/>
      </w:r>
      <w:r>
        <w:rPr>
          <w:rStyle w:val="13"/>
          <w:rFonts w:hint="eastAsia" w:ascii="仿宋_GB2312" w:hAnsi="仿宋" w:eastAsia="仿宋_GB2312"/>
          <w:sz w:val="32"/>
          <w:szCs w:val="32"/>
        </w:rPr>
        <w:t>五、联系方式</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_Toc2950386 \h </w:instrText>
      </w:r>
      <w:r>
        <w:rPr>
          <w:rFonts w:hint="eastAsia" w:ascii="仿宋_GB2312" w:eastAsia="仿宋_GB2312"/>
          <w:sz w:val="32"/>
          <w:szCs w:val="32"/>
        </w:rPr>
        <w:fldChar w:fldCharType="separate"/>
      </w:r>
      <w:r>
        <w:rPr>
          <w:rFonts w:hint="eastAsia" w:ascii="仿宋_GB2312" w:eastAsia="仿宋_GB2312"/>
          <w:sz w:val="32"/>
          <w:szCs w:val="32"/>
        </w:rPr>
        <w:t>3</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8"/>
        <w:tabs>
          <w:tab w:val="right" w:leader="dot" w:pos="9742"/>
        </w:tabs>
        <w:rPr>
          <w:rFonts w:ascii="仿宋_GB2312" w:eastAsia="仿宋_GB2312" w:hAnsiTheme="minorHAnsi" w:cstheme="minorBidi"/>
          <w:sz w:val="32"/>
          <w:szCs w:val="32"/>
        </w:rPr>
      </w:pPr>
      <w:r>
        <w:fldChar w:fldCharType="begin"/>
      </w:r>
      <w:r>
        <w:instrText xml:space="preserve"> HYPERLINK \l "_Toc2950387" </w:instrText>
      </w:r>
      <w:r>
        <w:fldChar w:fldCharType="separate"/>
      </w:r>
      <w:r>
        <w:rPr>
          <w:rStyle w:val="13"/>
          <w:rFonts w:hint="eastAsia" w:ascii="仿宋_GB2312" w:hAnsi="仿宋" w:eastAsia="仿宋_GB2312"/>
          <w:sz w:val="32"/>
          <w:szCs w:val="32"/>
        </w:rPr>
        <w:t>第二章 采购内容与技术要求</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_Toc2950387 \h </w:instrText>
      </w:r>
      <w:r>
        <w:rPr>
          <w:rFonts w:hint="eastAsia" w:ascii="仿宋_GB2312" w:eastAsia="仿宋_GB2312"/>
          <w:sz w:val="32"/>
          <w:szCs w:val="32"/>
        </w:rPr>
        <w:fldChar w:fldCharType="separate"/>
      </w:r>
      <w:r>
        <w:rPr>
          <w:rFonts w:hint="eastAsia" w:ascii="仿宋_GB2312" w:eastAsia="仿宋_GB2312"/>
          <w:sz w:val="32"/>
          <w:szCs w:val="32"/>
        </w:rPr>
        <w:t>4</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"_Toc2950388" </w:instrText>
      </w:r>
      <w:r>
        <w:fldChar w:fldCharType="separate"/>
      </w:r>
      <w:r>
        <w:rPr>
          <w:rStyle w:val="13"/>
          <w:rFonts w:hint="eastAsia" w:ascii="仿宋_GB2312" w:hAnsi="仿宋" w:eastAsia="仿宋_GB2312"/>
          <w:sz w:val="32"/>
          <w:szCs w:val="32"/>
        </w:rPr>
        <w:t>一、项目说明</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_Toc2950388 \h </w:instrText>
      </w:r>
      <w:r>
        <w:rPr>
          <w:rFonts w:hint="eastAsia" w:ascii="仿宋_GB2312" w:eastAsia="仿宋_GB2312"/>
          <w:sz w:val="32"/>
          <w:szCs w:val="32"/>
        </w:rPr>
        <w:fldChar w:fldCharType="separate"/>
      </w:r>
      <w:r>
        <w:rPr>
          <w:rFonts w:hint="eastAsia" w:ascii="仿宋_GB2312" w:eastAsia="仿宋_GB2312"/>
          <w:sz w:val="32"/>
          <w:szCs w:val="32"/>
        </w:rPr>
        <w:t>4</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"_Toc2950389" </w:instrText>
      </w:r>
      <w:r>
        <w:fldChar w:fldCharType="separate"/>
      </w:r>
      <w:r>
        <w:rPr>
          <w:rStyle w:val="13"/>
          <w:rFonts w:hint="eastAsia" w:ascii="仿宋_GB2312" w:hAnsi="仿宋" w:eastAsia="仿宋_GB2312" w:cs="Cambria"/>
          <w:bCs/>
          <w:kern w:val="0"/>
          <w:sz w:val="32"/>
          <w:szCs w:val="32"/>
        </w:rPr>
        <w:t>二、绿植租摆</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_Toc2950389 \h </w:instrText>
      </w:r>
      <w:r>
        <w:rPr>
          <w:rFonts w:hint="eastAsia" w:ascii="仿宋_GB2312" w:eastAsia="仿宋_GB2312"/>
          <w:sz w:val="32"/>
          <w:szCs w:val="32"/>
        </w:rPr>
        <w:fldChar w:fldCharType="separate"/>
      </w:r>
      <w:r>
        <w:rPr>
          <w:rFonts w:hint="eastAsia" w:ascii="仿宋_GB2312" w:eastAsia="仿宋_GB2312"/>
          <w:sz w:val="32"/>
          <w:szCs w:val="32"/>
        </w:rPr>
        <w:t>5</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"_Toc2950390" </w:instrText>
      </w:r>
      <w:r>
        <w:fldChar w:fldCharType="separate"/>
      </w:r>
      <w:r>
        <w:rPr>
          <w:rStyle w:val="13"/>
          <w:rFonts w:hint="eastAsia" w:ascii="仿宋_GB2312" w:hAnsi="仿宋" w:eastAsia="仿宋_GB2312" w:cs="Cambria"/>
          <w:bCs/>
          <w:kern w:val="0"/>
          <w:sz w:val="32"/>
          <w:szCs w:val="32"/>
        </w:rPr>
        <w:t>三、重新补种数量及标准</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_Toc2950390 \h </w:instrText>
      </w:r>
      <w:r>
        <w:rPr>
          <w:rFonts w:hint="eastAsia" w:ascii="仿宋_GB2312" w:eastAsia="仿宋_GB2312"/>
          <w:sz w:val="32"/>
          <w:szCs w:val="32"/>
        </w:rPr>
        <w:fldChar w:fldCharType="separate"/>
      </w:r>
      <w:r>
        <w:rPr>
          <w:rFonts w:hint="eastAsia" w:ascii="仿宋_GB2312" w:eastAsia="仿宋_GB2312"/>
          <w:sz w:val="32"/>
          <w:szCs w:val="32"/>
        </w:rPr>
        <w:t>24</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"_Toc2950391" </w:instrText>
      </w:r>
      <w:r>
        <w:fldChar w:fldCharType="separate"/>
      </w:r>
      <w:r>
        <w:rPr>
          <w:rStyle w:val="13"/>
          <w:rFonts w:hint="eastAsia" w:ascii="仿宋_GB2312" w:hAnsi="仿宋" w:eastAsia="仿宋_GB2312" w:cs="Cambria"/>
          <w:bCs/>
          <w:kern w:val="0"/>
          <w:sz w:val="32"/>
          <w:szCs w:val="32"/>
        </w:rPr>
        <w:t>四、绿肺养护要求</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_Toc2950391 \h </w:instrText>
      </w:r>
      <w:r>
        <w:rPr>
          <w:rFonts w:hint="eastAsia" w:ascii="仿宋_GB2312" w:eastAsia="仿宋_GB2312"/>
          <w:sz w:val="32"/>
          <w:szCs w:val="32"/>
        </w:rPr>
        <w:fldChar w:fldCharType="separate"/>
      </w:r>
      <w:r>
        <w:rPr>
          <w:rFonts w:hint="eastAsia" w:ascii="仿宋_GB2312" w:eastAsia="仿宋_GB2312"/>
          <w:sz w:val="32"/>
          <w:szCs w:val="32"/>
        </w:rPr>
        <w:t>25</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"_Toc2950392" </w:instrText>
      </w:r>
      <w:r>
        <w:fldChar w:fldCharType="separate"/>
      </w:r>
      <w:r>
        <w:rPr>
          <w:rStyle w:val="13"/>
          <w:rFonts w:hint="eastAsia" w:ascii="仿宋_GB2312" w:hAnsi="仿宋" w:eastAsia="仿宋_GB2312" w:cs="Cambria"/>
          <w:bCs/>
          <w:kern w:val="0"/>
          <w:sz w:val="32"/>
          <w:szCs w:val="32"/>
        </w:rPr>
        <w:t>五、服务考核标准</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_Toc2950392 \h </w:instrText>
      </w:r>
      <w:r>
        <w:rPr>
          <w:rFonts w:hint="eastAsia" w:ascii="仿宋_GB2312" w:eastAsia="仿宋_GB2312"/>
          <w:sz w:val="32"/>
          <w:szCs w:val="32"/>
        </w:rPr>
        <w:fldChar w:fldCharType="separate"/>
      </w:r>
      <w:r>
        <w:rPr>
          <w:rFonts w:hint="eastAsia" w:ascii="仿宋_GB2312" w:eastAsia="仿宋_GB2312"/>
          <w:sz w:val="32"/>
          <w:szCs w:val="32"/>
        </w:rPr>
        <w:t>26</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"_Toc2950393" </w:instrText>
      </w:r>
      <w:r>
        <w:fldChar w:fldCharType="separate"/>
      </w:r>
      <w:r>
        <w:rPr>
          <w:rStyle w:val="13"/>
          <w:rFonts w:hint="eastAsia" w:ascii="仿宋_GB2312" w:hAnsi="仿宋" w:eastAsia="仿宋_GB2312" w:cs="Cambria"/>
          <w:bCs/>
          <w:kern w:val="0"/>
          <w:sz w:val="32"/>
          <w:szCs w:val="32"/>
        </w:rPr>
        <w:t>六、其他要求</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_Toc2950393 \h </w:instrText>
      </w:r>
      <w:r>
        <w:rPr>
          <w:rFonts w:hint="eastAsia" w:ascii="仿宋_GB2312" w:eastAsia="仿宋_GB2312"/>
          <w:sz w:val="32"/>
          <w:szCs w:val="32"/>
        </w:rPr>
        <w:fldChar w:fldCharType="separate"/>
      </w:r>
      <w:r>
        <w:rPr>
          <w:rFonts w:hint="eastAsia" w:ascii="仿宋_GB2312" w:eastAsia="仿宋_GB2312"/>
          <w:sz w:val="32"/>
          <w:szCs w:val="32"/>
        </w:rPr>
        <w:t>27</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8"/>
        <w:tabs>
          <w:tab w:val="right" w:leader="dot" w:pos="9742"/>
        </w:tabs>
        <w:rPr>
          <w:rFonts w:ascii="仿宋_GB2312" w:eastAsia="仿宋_GB2312" w:hAnsiTheme="minorHAnsi" w:cstheme="minorBidi"/>
          <w:sz w:val="32"/>
          <w:szCs w:val="32"/>
        </w:rPr>
      </w:pPr>
      <w:r>
        <w:fldChar w:fldCharType="begin"/>
      </w:r>
      <w:r>
        <w:instrText xml:space="preserve"> HYPERLINK \l "_Toc2950394" </w:instrText>
      </w:r>
      <w:r>
        <w:fldChar w:fldCharType="separate"/>
      </w:r>
      <w:r>
        <w:rPr>
          <w:rStyle w:val="13"/>
          <w:rFonts w:hint="eastAsia" w:ascii="仿宋_GB2312" w:hAnsi="仿宋" w:eastAsia="仿宋_GB2312"/>
          <w:sz w:val="32"/>
          <w:szCs w:val="32"/>
        </w:rPr>
        <w:t>第三章 投标人须知</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_Toc2950394 \h </w:instrText>
      </w:r>
      <w:r>
        <w:rPr>
          <w:rFonts w:hint="eastAsia" w:ascii="仿宋_GB2312" w:eastAsia="仿宋_GB2312"/>
          <w:sz w:val="32"/>
          <w:szCs w:val="32"/>
        </w:rPr>
        <w:fldChar w:fldCharType="separate"/>
      </w:r>
      <w:r>
        <w:rPr>
          <w:rFonts w:hint="eastAsia" w:ascii="仿宋_GB2312" w:eastAsia="仿宋_GB2312"/>
          <w:sz w:val="32"/>
          <w:szCs w:val="32"/>
        </w:rPr>
        <w:t>30</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"_Toc2950395" </w:instrText>
      </w:r>
      <w:r>
        <w:fldChar w:fldCharType="separate"/>
      </w:r>
      <w:r>
        <w:rPr>
          <w:rStyle w:val="13"/>
          <w:rFonts w:hint="eastAsia" w:ascii="仿宋_GB2312" w:hAnsi="仿宋" w:eastAsia="仿宋_GB2312"/>
          <w:sz w:val="32"/>
          <w:szCs w:val="32"/>
        </w:rPr>
        <w:t>一、供应商资格要求</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_Toc2950395 \h </w:instrText>
      </w:r>
      <w:r>
        <w:rPr>
          <w:rFonts w:hint="eastAsia" w:ascii="仿宋_GB2312" w:eastAsia="仿宋_GB2312"/>
          <w:sz w:val="32"/>
          <w:szCs w:val="32"/>
        </w:rPr>
        <w:fldChar w:fldCharType="separate"/>
      </w:r>
      <w:r>
        <w:rPr>
          <w:rFonts w:hint="eastAsia" w:ascii="仿宋_GB2312" w:eastAsia="仿宋_GB2312"/>
          <w:sz w:val="32"/>
          <w:szCs w:val="32"/>
        </w:rPr>
        <w:t>30</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"_Toc2950396" </w:instrText>
      </w:r>
      <w:r>
        <w:fldChar w:fldCharType="separate"/>
      </w:r>
      <w:r>
        <w:rPr>
          <w:rStyle w:val="13"/>
          <w:rFonts w:hint="eastAsia" w:ascii="仿宋_GB2312" w:hAnsi="仿宋" w:eastAsia="仿宋_GB2312"/>
          <w:sz w:val="32"/>
          <w:szCs w:val="32"/>
        </w:rPr>
        <w:t>二、响应文件的构成</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_Toc2950396 \h </w:instrText>
      </w:r>
      <w:r>
        <w:rPr>
          <w:rFonts w:hint="eastAsia" w:ascii="仿宋_GB2312" w:eastAsia="仿宋_GB2312"/>
          <w:sz w:val="32"/>
          <w:szCs w:val="32"/>
        </w:rPr>
        <w:fldChar w:fldCharType="separate"/>
      </w:r>
      <w:r>
        <w:rPr>
          <w:rFonts w:hint="eastAsia" w:ascii="仿宋_GB2312" w:eastAsia="仿宋_GB2312"/>
          <w:sz w:val="32"/>
          <w:szCs w:val="32"/>
        </w:rPr>
        <w:t>30</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9"/>
        <w:tabs>
          <w:tab w:val="right" w:leader="dot" w:pos="9742"/>
        </w:tabs>
        <w:rPr>
          <w:rFonts w:ascii="仿宋_GB2312" w:eastAsia="仿宋_GB2312" w:hAnsiTheme="minorHAnsi" w:cstheme="minorBidi"/>
          <w:sz w:val="32"/>
          <w:szCs w:val="32"/>
        </w:rPr>
      </w:pPr>
      <w:r>
        <w:fldChar w:fldCharType="begin"/>
      </w:r>
      <w:r>
        <w:instrText xml:space="preserve"> HYPERLINK \l "_Toc2950397" </w:instrText>
      </w:r>
      <w:r>
        <w:fldChar w:fldCharType="separate"/>
      </w:r>
      <w:r>
        <w:rPr>
          <w:rStyle w:val="13"/>
          <w:rFonts w:hint="eastAsia" w:ascii="仿宋_GB2312" w:hAnsi="仿宋" w:eastAsia="仿宋_GB2312"/>
          <w:sz w:val="32"/>
          <w:szCs w:val="32"/>
        </w:rPr>
        <w:t>三、评标与中标</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_Toc2950397 \h </w:instrText>
      </w:r>
      <w:r>
        <w:rPr>
          <w:rFonts w:hint="eastAsia" w:ascii="仿宋_GB2312" w:eastAsia="仿宋_GB2312"/>
          <w:sz w:val="32"/>
          <w:szCs w:val="32"/>
        </w:rPr>
        <w:fldChar w:fldCharType="separate"/>
      </w:r>
      <w:r>
        <w:rPr>
          <w:rFonts w:hint="eastAsia" w:ascii="仿宋_GB2312" w:eastAsia="仿宋_GB2312"/>
          <w:sz w:val="32"/>
          <w:szCs w:val="32"/>
        </w:rPr>
        <w:t>31</w:t>
      </w:r>
      <w:r>
        <w:rPr>
          <w:rFonts w:hint="eastAsia" w:ascii="仿宋_GB2312" w:eastAsia="仿宋_GB2312"/>
          <w:sz w:val="32"/>
          <w:szCs w:val="32"/>
        </w:rPr>
        <w:fldChar w:fldCharType="end"/>
      </w:r>
      <w:r>
        <w:rPr>
          <w:rFonts w:hint="eastAsia" w:ascii="仿宋_GB2312" w:eastAsia="仿宋_GB2312"/>
          <w:sz w:val="32"/>
          <w:szCs w:val="32"/>
        </w:rPr>
        <w:fldChar w:fldCharType="end"/>
      </w:r>
    </w:p>
    <w:p>
      <w:pPr>
        <w:pStyle w:val="8"/>
        <w:tabs>
          <w:tab w:val="right" w:leader="dot" w:pos="9742"/>
        </w:tabs>
        <w:rPr>
          <w:rFonts w:ascii="仿宋_GB2312" w:eastAsia="仿宋_GB2312" w:hAnsiTheme="minorHAnsi" w:cstheme="minorBidi"/>
          <w:sz w:val="32"/>
          <w:szCs w:val="32"/>
        </w:rPr>
      </w:pPr>
      <w:r>
        <w:fldChar w:fldCharType="begin"/>
      </w:r>
      <w:r>
        <w:instrText xml:space="preserve"> HYPERLINK \l "_Toc2950398" </w:instrText>
      </w:r>
      <w:r>
        <w:fldChar w:fldCharType="separate"/>
      </w:r>
      <w:r>
        <w:rPr>
          <w:rStyle w:val="13"/>
          <w:rFonts w:hint="eastAsia" w:ascii="仿宋_GB2312" w:hAnsi="仿宋" w:eastAsia="仿宋_GB2312"/>
          <w:sz w:val="32"/>
          <w:szCs w:val="32"/>
        </w:rPr>
        <w:t>第四章 响应文件格式与要求（参考）</w:t>
      </w:r>
      <w:r>
        <w:rPr>
          <w:rFonts w:hint="eastAsia" w:ascii="仿宋_GB2312" w:eastAsia="仿宋_GB2312"/>
          <w:sz w:val="32"/>
          <w:szCs w:val="32"/>
        </w:rPr>
        <w:tab/>
      </w:r>
      <w:r>
        <w:rPr>
          <w:rFonts w:hint="eastAsia" w:ascii="仿宋_GB2312" w:eastAsia="仿宋_GB2312"/>
          <w:sz w:val="32"/>
          <w:szCs w:val="32"/>
        </w:rPr>
        <w:fldChar w:fldCharType="begin"/>
      </w:r>
      <w:r>
        <w:rPr>
          <w:rFonts w:hint="eastAsia" w:ascii="仿宋_GB2312" w:eastAsia="仿宋_GB2312"/>
          <w:sz w:val="32"/>
          <w:szCs w:val="32"/>
        </w:rPr>
        <w:instrText xml:space="preserve"> PAGEREF _Toc2950398 \h </w:instrText>
      </w:r>
      <w:r>
        <w:rPr>
          <w:rFonts w:hint="eastAsia" w:ascii="仿宋_GB2312" w:eastAsia="仿宋_GB2312"/>
          <w:sz w:val="32"/>
          <w:szCs w:val="32"/>
        </w:rPr>
        <w:fldChar w:fldCharType="separate"/>
      </w:r>
      <w:r>
        <w:rPr>
          <w:rFonts w:hint="eastAsia" w:ascii="仿宋_GB2312" w:eastAsia="仿宋_GB2312"/>
          <w:sz w:val="32"/>
          <w:szCs w:val="32"/>
        </w:rPr>
        <w:t>33</w:t>
      </w:r>
      <w:r>
        <w:rPr>
          <w:rFonts w:hint="eastAsia" w:ascii="仿宋_GB2312" w:eastAsia="仿宋_GB2312"/>
          <w:sz w:val="32"/>
          <w:szCs w:val="32"/>
        </w:rPr>
        <w:fldChar w:fldCharType="end"/>
      </w:r>
      <w:r>
        <w:rPr>
          <w:rFonts w:hint="eastAsia" w:ascii="仿宋_GB2312" w:eastAsia="仿宋_GB2312"/>
          <w:sz w:val="32"/>
          <w:szCs w:val="32"/>
        </w:rPr>
        <w:fldChar w:fldCharType="end"/>
      </w:r>
    </w:p>
    <w:p>
      <w:pPr>
        <w:widowControl/>
        <w:spacing w:line="400" w:lineRule="exact"/>
        <w:rPr>
          <w:rFonts w:ascii="仿宋" w:hAnsi="仿宋" w:eastAsia="仿宋"/>
        </w:rPr>
      </w:pPr>
      <w:r>
        <w:rPr>
          <w:rFonts w:hint="eastAsia" w:ascii="仿宋_GB2312" w:hAnsi="仿宋" w:eastAsia="仿宋_GB2312"/>
          <w:snapToGrid w:val="0"/>
          <w:w w:val="80"/>
          <w:kern w:val="0"/>
          <w:sz w:val="32"/>
          <w:szCs w:val="32"/>
        </w:rPr>
        <w:fldChar w:fldCharType="end"/>
      </w:r>
    </w:p>
    <w:p>
      <w:pPr>
        <w:rPr>
          <w:rFonts w:hint="eastAsia"/>
        </w:rPr>
      </w:pPr>
    </w:p>
    <w:p>
      <w:pPr>
        <w:rPr>
          <w:rFonts w:hint="eastAsia"/>
        </w:rPr>
      </w:pPr>
    </w:p>
    <w:p/>
    <w:p>
      <w:pPr>
        <w:pStyle w:val="2"/>
        <w:spacing w:line="360" w:lineRule="auto"/>
        <w:rPr>
          <w:rFonts w:ascii="仿宋" w:hAnsi="仿宋" w:eastAsia="仿宋"/>
        </w:rPr>
      </w:pPr>
      <w:bookmarkStart w:id="0" w:name="_Toc2950381"/>
      <w:r>
        <w:rPr>
          <w:rFonts w:hint="eastAsia" w:ascii="仿宋" w:hAnsi="仿宋" w:eastAsia="仿宋"/>
        </w:rPr>
        <w:t>第一章 竞争性磋商公告</w:t>
      </w:r>
      <w:bookmarkEnd w:id="0"/>
    </w:p>
    <w:p>
      <w:pPr>
        <w:ind w:firstLine="560" w:firstLineChars="200"/>
        <w:rPr>
          <w:rFonts w:ascii="仿宋" w:hAnsi="仿宋" w:eastAsia="仿宋"/>
          <w:sz w:val="28"/>
          <w:szCs w:val="28"/>
        </w:rPr>
      </w:pPr>
      <w:r>
        <w:rPr>
          <w:rFonts w:hint="eastAsia" w:ascii="仿宋" w:hAnsi="仿宋" w:eastAsia="仿宋"/>
          <w:sz w:val="28"/>
          <w:szCs w:val="28"/>
        </w:rPr>
        <w:t>鄂尔多斯市空港实业有限公司拟采用竞争性磋商的方式进行鄂尔多斯市国际机场航站楼绿植租摆养护服务及采购项目采购，现邀请符合条件的供应商前来参与此次采购活动。</w:t>
      </w:r>
    </w:p>
    <w:p>
      <w:pPr>
        <w:pStyle w:val="3"/>
        <w:spacing w:line="360" w:lineRule="auto"/>
        <w:ind w:firstLine="562" w:firstLineChars="200"/>
        <w:rPr>
          <w:rFonts w:ascii="仿宋" w:hAnsi="仿宋" w:eastAsia="仿宋"/>
          <w:sz w:val="28"/>
          <w:szCs w:val="28"/>
        </w:rPr>
      </w:pPr>
      <w:bookmarkStart w:id="1" w:name="_Toc2950382"/>
      <w:r>
        <w:rPr>
          <w:rFonts w:hint="eastAsia" w:ascii="仿宋" w:hAnsi="仿宋" w:eastAsia="仿宋"/>
          <w:sz w:val="28"/>
          <w:szCs w:val="28"/>
        </w:rPr>
        <w:t>一、项目概况</w:t>
      </w:r>
      <w:bookmarkEnd w:id="1"/>
    </w:p>
    <w:p>
      <w:pPr>
        <w:pStyle w:val="4"/>
        <w:spacing w:line="360" w:lineRule="auto"/>
        <w:ind w:firstLine="560" w:firstLineChars="200"/>
        <w:rPr>
          <w:rFonts w:ascii="仿宋" w:hAnsi="仿宋" w:eastAsia="仿宋"/>
          <w:sz w:val="28"/>
          <w:szCs w:val="28"/>
        </w:rPr>
      </w:pPr>
      <w:r>
        <w:rPr>
          <w:rFonts w:hint="eastAsia" w:ascii="仿宋" w:hAnsi="仿宋" w:eastAsia="仿宋"/>
          <w:kern w:val="2"/>
          <w:sz w:val="28"/>
          <w:szCs w:val="28"/>
        </w:rPr>
        <w:t>（一）项目名称：</w:t>
      </w:r>
      <w:r>
        <w:rPr>
          <w:rFonts w:hint="eastAsia" w:ascii="仿宋" w:hAnsi="仿宋" w:eastAsia="仿宋"/>
          <w:sz w:val="28"/>
          <w:szCs w:val="28"/>
        </w:rPr>
        <w:t>鄂尔多斯市国际机场航站楼绿植租摆养护服务及采购项目</w:t>
      </w:r>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（二）项目编号：CG/SYGS-19-002-N</w:t>
      </w:r>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（四）资金来源：鄂尔多斯伊金霍洛国际机场有限公司</w:t>
      </w:r>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4"/>
        <w:spacing w:line="360" w:lineRule="auto"/>
        <w:ind w:firstLine="560" w:firstLineChars="200"/>
        <w:rPr>
          <w:rFonts w:ascii="仿宋" w:hAnsi="仿宋" w:eastAsia="仿宋"/>
          <w:sz w:val="28"/>
          <w:szCs w:val="28"/>
        </w:rPr>
      </w:pPr>
      <w:r>
        <w:rPr>
          <w:rFonts w:hint="eastAsia" w:ascii="仿宋" w:hAnsi="仿宋" w:eastAsia="仿宋"/>
          <w:kern w:val="2"/>
          <w:sz w:val="28"/>
          <w:szCs w:val="28"/>
        </w:rPr>
        <w:t>项目名称：</w:t>
      </w:r>
      <w:r>
        <w:rPr>
          <w:rFonts w:hint="eastAsia" w:ascii="仿宋" w:hAnsi="仿宋" w:eastAsia="仿宋"/>
          <w:sz w:val="28"/>
          <w:szCs w:val="28"/>
        </w:rPr>
        <w:t>鄂尔多斯市国际机场航站楼绿植租摆养护服务及采购项目</w:t>
      </w:r>
    </w:p>
    <w:p>
      <w:pPr>
        <w:pStyle w:val="4"/>
        <w:spacing w:line="360" w:lineRule="auto"/>
        <w:ind w:firstLine="560" w:firstLineChars="200"/>
        <w:rPr>
          <w:rFonts w:ascii="仿宋" w:hAnsi="仿宋" w:eastAsia="仿宋"/>
          <w:sz w:val="28"/>
          <w:szCs w:val="28"/>
        </w:rPr>
      </w:pPr>
      <w:r>
        <w:rPr>
          <w:rFonts w:hint="eastAsia" w:ascii="仿宋" w:hAnsi="仿宋" w:eastAsia="仿宋"/>
          <w:sz w:val="28"/>
          <w:szCs w:val="28"/>
        </w:rPr>
        <w:t>服务期限：3年</w:t>
      </w:r>
    </w:p>
    <w:p>
      <w:pPr>
        <w:pStyle w:val="4"/>
        <w:spacing w:line="360" w:lineRule="auto"/>
        <w:ind w:firstLine="560" w:firstLineChars="200"/>
        <w:rPr>
          <w:rFonts w:ascii="仿宋" w:hAnsi="仿宋" w:eastAsia="仿宋"/>
          <w:sz w:val="28"/>
          <w:szCs w:val="28"/>
        </w:rPr>
      </w:pPr>
      <w:r>
        <w:rPr>
          <w:rFonts w:hint="eastAsia" w:ascii="仿宋" w:hAnsi="仿宋" w:eastAsia="仿宋"/>
          <w:sz w:val="28"/>
          <w:szCs w:val="28"/>
        </w:rPr>
        <w:t>技术规格、参数及要求：详见招标文件</w:t>
      </w:r>
    </w:p>
    <w:p>
      <w:pPr>
        <w:pStyle w:val="4"/>
        <w:spacing w:line="360" w:lineRule="auto"/>
        <w:ind w:firstLine="560" w:firstLineChars="200"/>
        <w:rPr>
          <w:rFonts w:ascii="仿宋" w:hAnsi="仿宋" w:eastAsia="仿宋"/>
          <w:kern w:val="2"/>
          <w:sz w:val="28"/>
          <w:szCs w:val="28"/>
        </w:rPr>
      </w:pPr>
      <w:r>
        <w:rPr>
          <w:rFonts w:hint="eastAsia" w:ascii="仿宋" w:hAnsi="仿宋" w:eastAsia="仿宋"/>
          <w:sz w:val="28"/>
          <w:szCs w:val="28"/>
        </w:rPr>
        <w:t>预算金额：330000元/年</w:t>
      </w:r>
    </w:p>
    <w:p>
      <w:pPr>
        <w:pStyle w:val="3"/>
        <w:spacing w:line="360" w:lineRule="auto"/>
        <w:ind w:firstLine="562" w:firstLineChars="200"/>
        <w:rPr>
          <w:rFonts w:ascii="仿宋" w:hAnsi="仿宋" w:eastAsia="仿宋"/>
          <w:sz w:val="28"/>
          <w:szCs w:val="28"/>
        </w:rPr>
      </w:pPr>
      <w:bookmarkStart w:id="2" w:name="_Toc2950383"/>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（二）具有绿植、花卉销售及养护等相关营业资质。</w:t>
      </w:r>
    </w:p>
    <w:p>
      <w:pPr>
        <w:pStyle w:val="3"/>
        <w:spacing w:line="360" w:lineRule="auto"/>
        <w:ind w:firstLine="562" w:firstLineChars="200"/>
        <w:rPr>
          <w:rFonts w:ascii="仿宋" w:hAnsi="仿宋" w:eastAsia="仿宋"/>
          <w:sz w:val="28"/>
          <w:szCs w:val="28"/>
        </w:rPr>
      </w:pPr>
      <w:bookmarkStart w:id="3" w:name="_Toc2950384"/>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符合上述条件的供应商可于2019年</w:t>
      </w:r>
      <w:r>
        <w:rPr>
          <w:rFonts w:hint="eastAsia" w:ascii="仿宋" w:hAnsi="仿宋" w:eastAsia="仿宋"/>
          <w:color w:val="000000" w:themeColor="text1"/>
          <w:sz w:val="28"/>
          <w:szCs w:val="28"/>
        </w:rPr>
        <w:t>3</w:t>
      </w:r>
      <w:r>
        <w:rPr>
          <w:rFonts w:hint="eastAsia" w:ascii="仿宋" w:hAnsi="仿宋" w:eastAsia="仿宋"/>
          <w:sz w:val="28"/>
          <w:szCs w:val="28"/>
        </w:rPr>
        <w:t>月</w:t>
      </w:r>
      <w:r>
        <w:rPr>
          <w:rFonts w:hint="eastAsia" w:ascii="仿宋" w:hAnsi="仿宋" w:eastAsia="仿宋"/>
          <w:color w:val="000000" w:themeColor="text1"/>
          <w:sz w:val="28"/>
          <w:szCs w:val="28"/>
        </w:rPr>
        <w:t>18</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2" w:firstLineChars="200"/>
        <w:rPr>
          <w:rFonts w:ascii="仿宋" w:hAnsi="仿宋" w:eastAsia="仿宋"/>
          <w:sz w:val="28"/>
          <w:szCs w:val="28"/>
        </w:rPr>
      </w:pPr>
      <w:bookmarkStart w:id="4" w:name="_Toc2950385"/>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color w:val="FF0000"/>
          <w:sz w:val="28"/>
          <w:szCs w:val="28"/>
        </w:rPr>
      </w:pPr>
      <w:r>
        <w:rPr>
          <w:rFonts w:hint="eastAsia" w:ascii="仿宋" w:hAnsi="仿宋" w:eastAsia="仿宋"/>
          <w:sz w:val="28"/>
          <w:szCs w:val="28"/>
        </w:rPr>
        <w:t>递交响应文件截止（评标）时间：201</w:t>
      </w:r>
      <w:r>
        <w:rPr>
          <w:rFonts w:hint="eastAsia" w:ascii="仿宋" w:hAnsi="仿宋" w:eastAsia="仿宋"/>
          <w:color w:val="000000" w:themeColor="text1"/>
          <w:sz w:val="28"/>
          <w:szCs w:val="28"/>
        </w:rPr>
        <w:t>9年3月21日</w:t>
      </w:r>
      <w:r>
        <w:rPr>
          <w:rFonts w:hint="eastAsia" w:ascii="仿宋" w:hAnsi="仿宋" w:eastAsia="仿宋"/>
          <w:color w:val="000000" w:themeColor="text1"/>
          <w:sz w:val="28"/>
          <w:szCs w:val="28"/>
          <w:lang w:eastAsia="zh-CN"/>
        </w:rPr>
        <w:t>下</w:t>
      </w:r>
      <w:r>
        <w:rPr>
          <w:rFonts w:hint="eastAsia" w:ascii="仿宋" w:hAnsi="仿宋" w:eastAsia="仿宋"/>
          <w:sz w:val="28"/>
          <w:szCs w:val="28"/>
        </w:rPr>
        <w:t>午14:30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响应文件时间开标及评标地点：2019年3月21日</w:t>
      </w:r>
      <w:r>
        <w:rPr>
          <w:rFonts w:hint="eastAsia" w:ascii="仿宋" w:hAnsi="仿宋" w:eastAsia="仿宋"/>
          <w:sz w:val="28"/>
          <w:szCs w:val="28"/>
          <w:lang w:eastAsia="zh-CN"/>
        </w:rPr>
        <w:t>下</w:t>
      </w:r>
      <w:bookmarkStart w:id="36" w:name="_GoBack"/>
      <w:bookmarkEnd w:id="36"/>
      <w:r>
        <w:rPr>
          <w:rFonts w:hint="eastAsia" w:ascii="仿宋" w:hAnsi="仿宋" w:eastAsia="仿宋"/>
          <w:sz w:val="28"/>
          <w:szCs w:val="28"/>
        </w:rPr>
        <w:t>午14:30，鄂尔多斯飞机场综合办公楼2楼208开标室</w:t>
      </w:r>
    </w:p>
    <w:p>
      <w:pPr>
        <w:pStyle w:val="3"/>
        <w:spacing w:line="360" w:lineRule="auto"/>
        <w:ind w:firstLine="551" w:firstLineChars="196"/>
        <w:rPr>
          <w:rFonts w:ascii="仿宋" w:hAnsi="仿宋" w:eastAsia="仿宋"/>
          <w:sz w:val="28"/>
          <w:szCs w:val="28"/>
        </w:rPr>
      </w:pPr>
      <w:bookmarkStart w:id="5" w:name="_Toc2950386"/>
      <w:r>
        <w:rPr>
          <w:rFonts w:hint="eastAsia" w:ascii="仿宋" w:hAnsi="仿宋" w:eastAsia="仿宋"/>
          <w:sz w:val="28"/>
          <w:szCs w:val="28"/>
        </w:rPr>
        <w:t>五、联系方式</w:t>
      </w:r>
      <w:bookmarkEnd w:id="5"/>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 系 人：何国栋</w:t>
      </w:r>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 xml:space="preserve">联系电话：0477-3855823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    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spacing w:line="360" w:lineRule="auto"/>
        <w:rPr>
          <w:rFonts w:ascii="仿宋" w:hAnsi="仿宋" w:eastAsia="仿宋"/>
        </w:rPr>
      </w:pPr>
      <w:bookmarkStart w:id="6" w:name="_Toc2950387"/>
      <w:r>
        <w:rPr>
          <w:rFonts w:hint="eastAsia" w:ascii="仿宋" w:hAnsi="仿宋" w:eastAsia="仿宋"/>
        </w:rPr>
        <w:t>第二章  采购内容与技术要求</w:t>
      </w:r>
      <w:bookmarkEnd w:id="6"/>
    </w:p>
    <w:p>
      <w:pPr>
        <w:pStyle w:val="3"/>
        <w:spacing w:line="360" w:lineRule="auto"/>
        <w:ind w:firstLine="562" w:firstLineChars="200"/>
        <w:rPr>
          <w:rFonts w:ascii="仿宋" w:hAnsi="仿宋" w:eastAsia="仿宋"/>
          <w:sz w:val="28"/>
        </w:rPr>
      </w:pPr>
      <w:bookmarkStart w:id="7" w:name="_Toc406421928"/>
      <w:bookmarkStart w:id="8" w:name="_Toc2950388"/>
      <w:r>
        <w:rPr>
          <w:rFonts w:hint="eastAsia" w:ascii="仿宋" w:hAnsi="仿宋" w:eastAsia="仿宋"/>
          <w:sz w:val="28"/>
        </w:rPr>
        <w:t>一、项目说明</w:t>
      </w:r>
      <w:bookmarkEnd w:id="7"/>
      <w:bookmarkEnd w:id="8"/>
    </w:p>
    <w:p>
      <w:pPr>
        <w:ind w:firstLine="560" w:firstLineChars="200"/>
        <w:rPr>
          <w:rFonts w:ascii="仿宋" w:hAnsi="仿宋" w:eastAsia="仿宋" w:cs="宋体"/>
          <w:bCs/>
          <w:kern w:val="0"/>
          <w:sz w:val="28"/>
        </w:rPr>
      </w:pPr>
      <w:r>
        <w:rPr>
          <w:rFonts w:hint="eastAsia" w:ascii="仿宋" w:hAnsi="仿宋" w:eastAsia="仿宋" w:cs="宋体"/>
          <w:bCs/>
          <w:kern w:val="0"/>
          <w:sz w:val="28"/>
        </w:rPr>
        <w:t>1、采购范围：</w:t>
      </w:r>
    </w:p>
    <w:p>
      <w:pPr>
        <w:ind w:firstLine="560" w:firstLineChars="200"/>
        <w:rPr>
          <w:rFonts w:ascii="仿宋" w:hAnsi="仿宋" w:eastAsia="仿宋" w:cs="宋体"/>
          <w:bCs/>
          <w:kern w:val="0"/>
          <w:sz w:val="28"/>
        </w:rPr>
      </w:pPr>
      <w:r>
        <w:rPr>
          <w:rFonts w:hint="eastAsia" w:ascii="仿宋" w:hAnsi="仿宋" w:eastAsia="仿宋" w:cs="宋体"/>
          <w:bCs/>
          <w:kern w:val="0"/>
          <w:sz w:val="28"/>
        </w:rPr>
        <w:t>1.1对鄂尔多斯国际机场新航站楼二、三层外大厅花卉、</w:t>
      </w:r>
      <w:r>
        <w:rPr>
          <w:rFonts w:hint="eastAsia" w:ascii="仿宋" w:hAnsi="仿宋" w:eastAsia="仿宋" w:cs="宋体"/>
          <w:bCs/>
          <w:color w:val="000000"/>
          <w:kern w:val="0"/>
          <w:sz w:val="28"/>
        </w:rPr>
        <w:t>隔离区国内到达走廊</w:t>
      </w:r>
      <w:r>
        <w:rPr>
          <w:rFonts w:hint="eastAsia" w:ascii="仿宋" w:hAnsi="仿宋" w:eastAsia="仿宋" w:cs="宋体"/>
          <w:bCs/>
          <w:kern w:val="0"/>
          <w:sz w:val="28"/>
        </w:rPr>
        <w:t>、国内到达行李提取大厅、机坪行李分拣大厅办公室、隔离区国内到达走廊、地下负6办公室、地下负8办公室、三楼内大厅、办公室、国际区等区域按照招标方参数提供花卉租摆、布置及养护服务；</w:t>
      </w:r>
    </w:p>
    <w:p>
      <w:pPr>
        <w:ind w:firstLine="560" w:firstLineChars="200"/>
        <w:rPr>
          <w:rFonts w:ascii="仿宋" w:hAnsi="仿宋" w:eastAsia="仿宋" w:cs="宋体"/>
          <w:bCs/>
          <w:kern w:val="0"/>
          <w:sz w:val="28"/>
        </w:rPr>
      </w:pPr>
      <w:r>
        <w:rPr>
          <w:rFonts w:hint="eastAsia" w:ascii="仿宋" w:hAnsi="仿宋" w:eastAsia="仿宋" w:cs="宋体"/>
          <w:bCs/>
          <w:kern w:val="0"/>
          <w:sz w:val="28"/>
        </w:rPr>
        <w:t>1.2对现有现绿肺绿植区域（东绿肺及西绿肺）提供花卉养护服务；</w:t>
      </w:r>
    </w:p>
    <w:p>
      <w:pPr>
        <w:ind w:firstLine="560" w:firstLineChars="200"/>
        <w:rPr>
          <w:rFonts w:ascii="仿宋" w:hAnsi="仿宋" w:eastAsia="仿宋" w:cs="宋体"/>
          <w:bCs/>
          <w:color w:val="000000" w:themeColor="text1"/>
          <w:kern w:val="0"/>
          <w:sz w:val="28"/>
        </w:rPr>
      </w:pPr>
      <w:r>
        <w:rPr>
          <w:rFonts w:hint="eastAsia" w:ascii="仿宋" w:hAnsi="仿宋" w:eastAsia="仿宋" w:cs="宋体"/>
          <w:bCs/>
          <w:kern w:val="0"/>
          <w:sz w:val="28"/>
        </w:rPr>
        <w:t>1.3按照采</w:t>
      </w:r>
      <w:r>
        <w:rPr>
          <w:rFonts w:hint="eastAsia" w:ascii="仿宋" w:hAnsi="仿宋" w:eastAsia="仿宋" w:cs="宋体"/>
          <w:bCs/>
          <w:color w:val="000000" w:themeColor="text1"/>
          <w:kern w:val="0"/>
          <w:sz w:val="28"/>
        </w:rPr>
        <w:t>购参数要求，移除东西绿肺布迪椰子各一颗（共2颗），重新提供并在原坑位补种两颗加拿利海枣，并添加两颗酒瓶椰子，并为提供养护服务；</w:t>
      </w:r>
    </w:p>
    <w:p>
      <w:pPr>
        <w:ind w:firstLine="560" w:firstLineChars="200"/>
        <w:rPr>
          <w:rFonts w:ascii="仿宋" w:hAnsi="仿宋" w:eastAsia="仿宋" w:cs="宋体"/>
          <w:bCs/>
          <w:color w:val="000000" w:themeColor="text1"/>
          <w:kern w:val="0"/>
          <w:sz w:val="28"/>
        </w:rPr>
      </w:pPr>
      <w:r>
        <w:rPr>
          <w:rFonts w:hint="eastAsia" w:ascii="仿宋" w:hAnsi="仿宋" w:eastAsia="仿宋" w:cs="宋体"/>
          <w:bCs/>
          <w:color w:val="000000" w:themeColor="text1"/>
          <w:kern w:val="0"/>
          <w:sz w:val="28"/>
        </w:rPr>
        <w:t>1.4按设计图添加工艺花盆、玻璃钢花盆及花箱，具体参数见招标文件。</w:t>
      </w:r>
    </w:p>
    <w:p>
      <w:pPr>
        <w:ind w:firstLine="560" w:firstLineChars="200"/>
        <w:rPr>
          <w:rFonts w:ascii="仿宋" w:hAnsi="仿宋" w:eastAsia="仿宋" w:cs="宋体"/>
          <w:bCs/>
          <w:color w:val="000000" w:themeColor="text1"/>
          <w:kern w:val="0"/>
          <w:sz w:val="28"/>
        </w:rPr>
      </w:pPr>
      <w:r>
        <w:rPr>
          <w:rFonts w:hint="eastAsia" w:ascii="仿宋" w:hAnsi="仿宋" w:eastAsia="仿宋" w:cs="宋体"/>
          <w:bCs/>
          <w:color w:val="000000" w:themeColor="text1"/>
          <w:kern w:val="0"/>
          <w:sz w:val="28"/>
        </w:rPr>
        <w:t>2、服务期限：3年</w:t>
      </w:r>
      <w:r>
        <w:rPr>
          <w:rFonts w:ascii="仿宋" w:hAnsi="仿宋" w:eastAsia="仿宋" w:cs="宋体"/>
          <w:bCs/>
          <w:color w:val="000000" w:themeColor="text1"/>
          <w:kern w:val="0"/>
          <w:sz w:val="28"/>
        </w:rPr>
        <w:t xml:space="preserve"> </w:t>
      </w:r>
    </w:p>
    <w:p>
      <w:pPr>
        <w:ind w:firstLine="560" w:firstLineChars="200"/>
        <w:rPr>
          <w:rFonts w:ascii="仿宋" w:hAnsi="仿宋" w:eastAsia="仿宋" w:cs="宋体"/>
          <w:bCs/>
          <w:kern w:val="0"/>
          <w:sz w:val="28"/>
        </w:rPr>
      </w:pPr>
      <w:r>
        <w:rPr>
          <w:rFonts w:hint="eastAsia" w:ascii="仿宋" w:hAnsi="仿宋" w:eastAsia="仿宋" w:cs="宋体"/>
          <w:bCs/>
          <w:color w:val="000000" w:themeColor="text1"/>
          <w:kern w:val="0"/>
          <w:sz w:val="28"/>
        </w:rPr>
        <w:t>3、付款方式：新航站楼绿植、花卉租摆验收合格后，预付绿植租摆费用及购买加拿利海枣、酒瓶椰子费用的25%（不含养护费），此预付款作为合同期内前三月绿植租摆租赁费，后续绿植租摆费</w:t>
      </w:r>
      <w:r>
        <w:rPr>
          <w:rFonts w:hint="eastAsia" w:ascii="仿宋" w:hAnsi="仿宋" w:eastAsia="仿宋" w:cs="宋体"/>
          <w:bCs/>
          <w:kern w:val="0"/>
          <w:sz w:val="28"/>
        </w:rPr>
        <w:t>用及养护费每三个月根据招标方服务绩效考核后支付一次。</w:t>
      </w:r>
    </w:p>
    <w:p>
      <w:pPr>
        <w:ind w:firstLine="560" w:firstLineChars="200"/>
        <w:rPr>
          <w:rFonts w:ascii="仿宋" w:hAnsi="仿宋" w:eastAsia="仿宋" w:cs="宋体"/>
          <w:bCs/>
          <w:kern w:val="0"/>
          <w:sz w:val="28"/>
        </w:rPr>
      </w:pPr>
      <w:r>
        <w:rPr>
          <w:rFonts w:hint="eastAsia" w:ascii="仿宋" w:hAnsi="仿宋" w:eastAsia="仿宋" w:cs="宋体"/>
          <w:bCs/>
          <w:kern w:val="0"/>
          <w:sz w:val="28"/>
        </w:rPr>
        <w:t>4、发票要求：增值税专用发票</w:t>
      </w:r>
    </w:p>
    <w:p>
      <w:pPr>
        <w:spacing w:line="360" w:lineRule="auto"/>
        <w:ind w:firstLine="562" w:firstLineChars="200"/>
        <w:outlineLvl w:val="1"/>
        <w:rPr>
          <w:rFonts w:ascii="仿宋_GB2312" w:hAnsi="仿宋_GB2312" w:eastAsia="仿宋_GB2312" w:cs="仿宋_GB2312"/>
          <w:sz w:val="28"/>
          <w:szCs w:val="28"/>
        </w:rPr>
      </w:pPr>
      <w:bookmarkStart w:id="9" w:name="_Toc2950389"/>
      <w:r>
        <w:rPr>
          <w:rFonts w:hint="eastAsia" w:ascii="仿宋" w:hAnsi="仿宋" w:eastAsia="仿宋" w:cs="Cambria"/>
          <w:b/>
          <w:bCs/>
          <w:kern w:val="0"/>
          <w:sz w:val="28"/>
          <w:szCs w:val="32"/>
        </w:rPr>
        <w:t>二、绿植租摆</w:t>
      </w:r>
      <w:bookmarkEnd w:id="9"/>
    </w:p>
    <w:p>
      <w:pPr>
        <w:spacing w:line="360" w:lineRule="auto"/>
        <w:ind w:firstLine="562" w:firstLineChars="200"/>
        <w:rPr>
          <w:rFonts w:ascii="仿宋" w:hAnsi="仿宋" w:eastAsia="仿宋" w:cs="Cambria"/>
          <w:b/>
          <w:bCs/>
          <w:kern w:val="0"/>
          <w:sz w:val="28"/>
          <w:szCs w:val="32"/>
        </w:rPr>
      </w:pPr>
      <w:r>
        <w:rPr>
          <w:rFonts w:hint="eastAsia" w:ascii="仿宋" w:hAnsi="仿宋" w:eastAsia="仿宋" w:cs="Cambria"/>
          <w:b/>
          <w:bCs/>
          <w:kern w:val="0"/>
          <w:sz w:val="28"/>
          <w:szCs w:val="32"/>
        </w:rPr>
        <w:t>(一)</w:t>
      </w:r>
      <w:r>
        <w:rPr>
          <w:rFonts w:hint="eastAsia" w:ascii="仿宋" w:hAnsi="仿宋" w:eastAsia="仿宋"/>
          <w:b/>
          <w:color w:val="000000"/>
          <w:sz w:val="28"/>
          <w:szCs w:val="28"/>
        </w:rPr>
        <w:t>绿植租摆服务标准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1.供货及运输</w:t>
      </w:r>
    </w:p>
    <w:p>
      <w:pPr>
        <w:spacing w:line="360" w:lineRule="auto"/>
        <w:ind w:firstLine="570"/>
        <w:rPr>
          <w:rFonts w:ascii="仿宋" w:hAnsi="仿宋" w:eastAsia="仿宋"/>
          <w:color w:val="000000"/>
          <w:sz w:val="28"/>
          <w:szCs w:val="28"/>
        </w:rPr>
      </w:pPr>
      <w:r>
        <w:rPr>
          <w:rFonts w:hint="eastAsia" w:ascii="仿宋" w:hAnsi="仿宋" w:eastAsia="仿宋"/>
          <w:color w:val="000000"/>
          <w:sz w:val="28"/>
          <w:szCs w:val="28"/>
        </w:rPr>
        <w:t>投标人负责采购或租赁符合招标人要求的绿植、花卉，并运送至摆放点位。</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2.绿植/花卉标准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2.1长势良好，同一区域的绿植/花卉高度一致；</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2.2及时修剪生长过旺或株形欠佳的植物，并进行整形；</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2.3擦拭叶面时应做到下手轻、顺叶脉方向，擦拭后的植物应呈现植物原本叶色；</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2.4叶面无尘土、污物，保持洁净光亮；（每天用叶面清洗剂对叶面清洗一次，叶面不喜水的植物每周使用有针对性可行办法进行叶面清洗，特殊情况随时清理）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2.5枝叶茂盛，无枯枝病叶、黄叶、黑叶；</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2.6绿植修剪平整、美观，无残叶、残枝；</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2.7花卉修剪美观，无萎靡状态的残花、败花；</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2.8土壤干湿适度，无干旱缺水现象；</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2.9土壤洁净，无杂物、杂草、纸屑等；</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2.10铺设陶粒应平整均匀，表面无杂物；</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2.11叶子无虫咬的孔洞，径干和叶子不霉；</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2.12对影响美观的残花/绿植，在发现2日内更换、清理完成；</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2.13绿植摆放间距相等，做到横平竖直，不得有歪斜现象；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2.14绿植/花卉不缺少、不枯干，在发现三日内更换相同品种和高度的绿植/花卉；</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2.15 绿植/花卉营养充足，根据具体情况，按时施肥打药，确保长势良好。</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3.花器/套盆标准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3.1花器/套盆完整，无破损、残痕；</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3.2花器/套盆内洁净整齐，无纸屑、烟头、无枯枝断叶等杂物；（杂物存留24小时为不达标）</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3.3花器/套盆摆放间距相等，做到横平竖直；</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3.4花器/套盆内不留有积水，四周不得有水浸出；</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3.5套盆与植物的比例适当，不得有大盆套小盆，小盆套大盆的现象；</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3.6同一区域的花器/套盆种类、花色、大小相同；</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3.7所有绿植、花卉配有尺寸、风格协调的套盆、花器。</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4.长势标准</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4.1生长健壮、不萎蔫、株形匀称、形状美观；</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4.2叶面有光泽、颜色鲜艳、有质感；</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4.3无干枝、枯叶；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4.4无任何病虫害；</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4.5叶片挺实，不秃腿、不平顶；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4.6叶片预黄叶，预黄部分不超过本叶面积10%，预黄叶片总数不超过叶片总数百分之一；</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4.7花色、果色鲜艳，花瓣健壮不变色。</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5.位置标准</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5.1绿植花卉最有观赏价值的一面朝向人群；</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5.2盆器带有图案或装饰的一面朝向人群；</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5.3同一区域盆器带有多个图案或装饰物并有2盆以上时，选其最佳一面照向人群且图案朝向一致；</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5.4同一区域盆器带有连组图案、装饰物或字体的应按规定顺序布置；</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5.5异型花盆、花架应将最有观赏价值一面照向人群。同一区域内有同样的多个异型花盆、花架时，朝向应一致；</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5.6盆器底釉有缺毁，花架有不美观的一面应背向人群一面，并于三日内更换完毕；</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5.7花架、花盆不存在掉漆、掉瓷、裂痕现象；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5.8植物、花盆、套盆、缸、托盘、花架中心点相对；</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5.9植物花卉不侧歪；</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5.10花架、花盆、套盆、缸、托盘同植物大小比例适合，无头重脚轻的视觉效果；</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5.11植物杆茎种植于花盆中心位置，误差不超花盆内直径的5cm；</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5.12盆景类植物视情况决定种植位置；</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5.13同一区域同种绿植花卉根据通风情况、着阳情况进行适当调换，以使其均衡生长；</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5.14不同品种位置调换应征得甲方同意；</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5.15.每季度在征得甲方同意情况下，组织实施不同品种的位置调换。以消除视觉疲劳。</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6.安全标准</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6.1花架不存在不牢固、可晃动现象；无裂痕；</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6.2花盆套盆、套缸，不存在有破损、裂痕现象；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6.3不存在围挡、装饰物有尖突造型现象；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6.4不存在支撑物、牵拉绳不牢固现象；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6.5不存在使用有毒有害的药品及国家明令禁止的药品的现象；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6.6不存在乱丢药品包装现象；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6.7无有毒有害植物；</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6.8无吸氧植物及有明显气味植物；</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6.9不存在因养护作业损坏、划伤公共区域设施及物品（包括大理石地面、木地板、桌面，地毯等），破坏原有卫生环境现象。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7.整体协调标准</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7.1使用的绿植花卉、花盆、花架、托盘的造型颜色与场地装饰、风格相配套，与内容相一致。与位置相呼应，大小适中，与习俗相合，无明显异味（包括香味）；</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7.2花盆、套缸、盆、花架、托盘、绿植花卉做到整体合一；</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7.3两盆以上的绿植并排摆放或集中摆放时，土层表面与盆器上沿的距离必须保持一致。</w:t>
      </w:r>
    </w:p>
    <w:p>
      <w:pPr>
        <w:spacing w:line="360" w:lineRule="auto"/>
        <w:ind w:firstLine="562" w:firstLineChars="200"/>
        <w:rPr>
          <w:rFonts w:ascii="仿宋" w:hAnsi="仿宋" w:eastAsia="仿宋" w:cs="Cambria"/>
          <w:b/>
          <w:bCs/>
          <w:kern w:val="0"/>
          <w:sz w:val="28"/>
          <w:szCs w:val="32"/>
        </w:rPr>
      </w:pPr>
      <w:r>
        <w:rPr>
          <w:rFonts w:hint="eastAsia" w:ascii="仿宋" w:hAnsi="仿宋" w:eastAsia="仿宋" w:cs="Cambria"/>
          <w:b/>
          <w:bCs/>
          <w:kern w:val="0"/>
          <w:sz w:val="28"/>
          <w:szCs w:val="32"/>
        </w:rPr>
        <w:t>（二）绿植租摆数量及要求</w:t>
      </w:r>
    </w:p>
    <w:p>
      <w:pPr>
        <w:spacing w:line="360" w:lineRule="auto"/>
        <w:ind w:firstLine="562" w:firstLineChars="200"/>
        <w:rPr>
          <w:rFonts w:ascii="仿宋" w:hAnsi="仿宋" w:eastAsia="仿宋" w:cs="Cambria"/>
          <w:b/>
          <w:bCs/>
          <w:kern w:val="0"/>
          <w:sz w:val="28"/>
          <w:szCs w:val="32"/>
        </w:rPr>
      </w:pPr>
      <w:r>
        <w:rPr>
          <w:rFonts w:hint="eastAsia" w:ascii="仿宋" w:hAnsi="仿宋" w:eastAsia="仿宋" w:cs="Cambria"/>
          <w:b/>
          <w:bCs/>
          <w:kern w:val="0"/>
          <w:sz w:val="28"/>
          <w:szCs w:val="32"/>
        </w:rPr>
        <w:t>1、二三楼外大厅花卉</w:t>
      </w:r>
    </w:p>
    <w:tbl>
      <w:tblPr>
        <w:tblStyle w:val="14"/>
        <w:tblW w:w="112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47"/>
        <w:gridCol w:w="1276"/>
        <w:gridCol w:w="850"/>
        <w:gridCol w:w="992"/>
        <w:gridCol w:w="993"/>
        <w:gridCol w:w="1275"/>
        <w:gridCol w:w="1134"/>
        <w:gridCol w:w="993"/>
        <w:gridCol w:w="1984"/>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050" w:hRule="atLeast"/>
          <w:jc w:val="center"/>
        </w:trPr>
        <w:tc>
          <w:tcPr>
            <w:tcW w:w="1047"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区域</w:t>
            </w:r>
          </w:p>
        </w:tc>
        <w:tc>
          <w:tcPr>
            <w:tcW w:w="1276"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花名</w:t>
            </w:r>
          </w:p>
        </w:tc>
        <w:tc>
          <w:tcPr>
            <w:tcW w:w="850"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数量</w:t>
            </w:r>
          </w:p>
        </w:tc>
        <w:tc>
          <w:tcPr>
            <w:tcW w:w="992"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993"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275"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993"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984"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备注</w:t>
            </w:r>
          </w:p>
        </w:tc>
        <w:tc>
          <w:tcPr>
            <w:tcW w:w="734"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二楼到达门口</w:t>
            </w: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招标方提供方形玻璃钢花盆6个，用于该区域花卉栽种</w:t>
            </w:r>
          </w:p>
        </w:tc>
        <w:tc>
          <w:tcPr>
            <w:tcW w:w="734" w:type="dxa"/>
            <w:vMerge w:val="restart"/>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巴西美人</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鸿运当头</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二楼大厅花坛</w:t>
            </w: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非洲茉莉</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2.0</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restart"/>
            <w:vAlign w:val="center"/>
          </w:tcPr>
          <w:p>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工艺组合花盆参照第11条航站楼三层出发大厅花坛样图中花坛</w:t>
            </w:r>
          </w:p>
          <w:p>
            <w:pPr>
              <w:spacing w:line="360" w:lineRule="auto"/>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螺纹铁</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25</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巴西美人</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45</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Merge w:val="restart"/>
            <w:vAlign w:val="center"/>
          </w:tcPr>
          <w:p>
            <w:pPr>
              <w:spacing w:line="360" w:lineRule="auto"/>
              <w:jc w:val="center"/>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组合工艺</w:t>
            </w:r>
          </w:p>
          <w:p>
            <w:pPr>
              <w:spacing w:line="360" w:lineRule="auto"/>
              <w:jc w:val="center"/>
              <w:rPr>
                <w:rFonts w:ascii="仿宋_GB2312" w:hAnsi="仿宋_GB2312" w:eastAsia="仿宋_GB2312" w:cs="仿宋_GB2312"/>
                <w:color w:val="FF0000"/>
                <w:sz w:val="24"/>
              </w:rPr>
            </w:pPr>
            <w:r>
              <w:rPr>
                <w:rFonts w:hint="eastAsia" w:ascii="仿宋_GB2312" w:hAnsi="仿宋_GB2312" w:eastAsia="仿宋_GB2312" w:cs="仿宋_GB2312"/>
                <w:color w:val="FF0000"/>
                <w:sz w:val="24"/>
              </w:rPr>
              <w:t>花盆3个</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1.0</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Merge w:val="continue"/>
            <w:vAlign w:val="center"/>
          </w:tcPr>
          <w:p>
            <w:pPr>
              <w:spacing w:line="360" w:lineRule="auto"/>
              <w:rPr>
                <w:rFonts w:ascii="仿宋_GB2312" w:hAnsi="仿宋_GB2312" w:eastAsia="仿宋_GB2312" w:cs="仿宋_GB2312"/>
                <w:color w:val="FF0000"/>
                <w:sz w:val="24"/>
              </w:rPr>
            </w:pP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0.8</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Merge w:val="continue"/>
            <w:vAlign w:val="center"/>
          </w:tcPr>
          <w:p>
            <w:pPr>
              <w:spacing w:line="360" w:lineRule="auto"/>
              <w:rPr>
                <w:rFonts w:ascii="仿宋_GB2312" w:hAnsi="仿宋_GB2312" w:eastAsia="仿宋_GB2312" w:cs="仿宋_GB2312"/>
                <w:color w:val="FF0000"/>
                <w:sz w:val="24"/>
              </w:rPr>
            </w:pP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红叶朱蕉</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56</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彩色凤梨</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45</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袖珍椰子</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56</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绿萝</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65</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彩边吊兰花</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70</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三楼电梯口</w:t>
            </w: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非洲茉莉（中）</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招标方提供子弹形玻璃钢花盆12个，用于该区域花卉栽种</w:t>
            </w: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外大厅门柱</w:t>
            </w: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20</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由招标方提供圆形玻璃钢花盆4个，用于该区域花卉栽种</w:t>
            </w: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ind w:firstLine="480" w:firstLineChars="200"/>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黄金宝玉</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32</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firstLine="480" w:firstLineChars="20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restart"/>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三楼外大厅值机岛墙体A、B岛头</w:t>
            </w: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凤梨</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restart"/>
            <w:vAlign w:val="center"/>
          </w:tcPr>
          <w:p>
            <w:pPr>
              <w:spacing w:line="360" w:lineRule="auto"/>
              <w:ind w:left="105" w:leftChars="50"/>
              <w:rPr>
                <w:rFonts w:ascii="仿宋_GB2312" w:hAnsi="仿宋_GB2312" w:eastAsia="仿宋_GB2312" w:cs="仿宋_GB2312"/>
                <w:sz w:val="24"/>
              </w:rPr>
            </w:pPr>
            <w:r>
              <w:rPr>
                <w:rFonts w:hint="eastAsia" w:ascii="仿宋_GB2312" w:hAnsi="仿宋_GB2312" w:eastAsia="仿宋_GB2312" w:cs="仿宋_GB2312"/>
                <w:sz w:val="24"/>
              </w:rPr>
              <w:t>参照图片如下：</w:t>
            </w:r>
            <w:r>
              <w:rPr>
                <w:rFonts w:hint="eastAsia" w:ascii="仿宋_GB2312" w:hAnsi="仿宋_GB2312" w:eastAsia="仿宋_GB2312" w:cs="仿宋_GB2312"/>
                <w:sz w:val="24"/>
              </w:rPr>
              <w:drawing>
                <wp:inline distT="0" distB="0" distL="0" distR="0">
                  <wp:extent cx="994410" cy="924560"/>
                  <wp:effectExtent l="19050" t="0" r="0" b="0"/>
                  <wp:docPr id="47" name="图片 8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5" descr="2"/>
                          <pic:cNvPicPr>
                            <a:picLocks noChangeAspect="1" noChangeArrowheads="1"/>
                          </pic:cNvPicPr>
                        </pic:nvPicPr>
                        <pic:blipFill>
                          <a:blip r:embed="rId5" cstate="print"/>
                          <a:srcRect/>
                          <a:stretch>
                            <a:fillRect/>
                          </a:stretch>
                        </pic:blipFill>
                        <pic:spPr>
                          <a:xfrm>
                            <a:off x="0" y="0"/>
                            <a:ext cx="994410" cy="924894"/>
                          </a:xfrm>
                          <a:prstGeom prst="rect">
                            <a:avLst/>
                          </a:prstGeom>
                          <a:noFill/>
                          <a:ln w="9525">
                            <a:noFill/>
                            <a:miter lim="800000"/>
                            <a:headEnd/>
                            <a:tailEnd/>
                          </a:ln>
                        </pic:spPr>
                      </pic:pic>
                    </a:graphicData>
                  </a:graphic>
                </wp:inline>
              </w:drawing>
            </w:r>
          </w:p>
          <w:p>
            <w:pPr>
              <w:spacing w:line="360" w:lineRule="auto"/>
              <w:ind w:left="105" w:leftChars="50"/>
              <w:rPr>
                <w:rFonts w:ascii="仿宋_GB2312" w:hAnsi="仿宋_GB2312" w:eastAsia="仿宋_GB2312" w:cs="仿宋_GB2312"/>
                <w:color w:val="1F497D" w:themeColor="text2"/>
                <w:sz w:val="24"/>
              </w:rPr>
            </w:pPr>
            <w:r>
              <w:rPr>
                <w:rFonts w:hint="eastAsia" w:ascii="仿宋_GB2312" w:hAnsi="仿宋_GB2312" w:eastAsia="仿宋_GB2312" w:cs="仿宋_GB2312"/>
                <w:color w:val="1F497D" w:themeColor="text2"/>
                <w:sz w:val="24"/>
                <w:highlight w:val="yellow"/>
              </w:rPr>
              <w:t>由投标方提供</w:t>
            </w: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富贵椰子</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left="105" w:leftChars="5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变叶木</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992"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left="105" w:leftChars="50"/>
              <w:rPr>
                <w:rFonts w:ascii="仿宋_GB2312" w:hAnsi="仿宋_GB2312" w:eastAsia="仿宋_GB2312" w:cs="仿宋_GB2312"/>
                <w:sz w:val="24"/>
              </w:rPr>
            </w:pPr>
          </w:p>
        </w:tc>
        <w:tc>
          <w:tcPr>
            <w:tcW w:w="734" w:type="dxa"/>
            <w:vMerge w:val="continue"/>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67" w:hRule="atLeast"/>
          <w:jc w:val="center"/>
        </w:trPr>
        <w:tc>
          <w:tcPr>
            <w:tcW w:w="1047" w:type="dxa"/>
            <w:vMerge w:val="continue"/>
            <w:vAlign w:val="center"/>
          </w:tcPr>
          <w:p>
            <w:pPr>
              <w:spacing w:line="360" w:lineRule="auto"/>
              <w:rPr>
                <w:rFonts w:ascii="仿宋_GB2312" w:hAnsi="仿宋_GB2312" w:eastAsia="仿宋_GB2312" w:cs="仿宋_GB2312"/>
                <w:sz w:val="24"/>
              </w:rPr>
            </w:pPr>
          </w:p>
        </w:tc>
        <w:tc>
          <w:tcPr>
            <w:tcW w:w="1276" w:type="dxa"/>
            <w:vAlign w:val="center"/>
          </w:tcPr>
          <w:p>
            <w:pPr>
              <w:spacing w:line="360" w:lineRule="auto"/>
              <w:rPr>
                <w:rFonts w:ascii="仿宋_GB2312" w:hAnsi="仿宋_GB2312" w:eastAsia="仿宋_GB2312" w:cs="仿宋_GB2312"/>
                <w:sz w:val="24"/>
              </w:rPr>
            </w:pPr>
            <w:r>
              <w:rPr>
                <w:rFonts w:hint="eastAsia" w:ascii="仿宋_GB2312" w:hAnsi="仿宋" w:eastAsia="仿宋_GB2312" w:cs="宋体"/>
                <w:color w:val="000000"/>
                <w:kern w:val="0"/>
              </w:rPr>
              <w:t>方形白色敞口玻璃钢花器（双层，材质为玻璃钢,表面烤漆处理，壁厚5mm）</w:t>
            </w:r>
          </w:p>
        </w:tc>
        <w:tc>
          <w:tcPr>
            <w:tcW w:w="850" w:type="dxa"/>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2组，每组大中小各1个，共计6个</w:t>
            </w:r>
          </w:p>
        </w:tc>
        <w:tc>
          <w:tcPr>
            <w:tcW w:w="992" w:type="dxa"/>
            <w:vAlign w:val="center"/>
          </w:tcPr>
          <w:p>
            <w:pPr>
              <w:spacing w:line="360" w:lineRule="auto"/>
              <w:rPr>
                <w:rFonts w:ascii="仿宋_GB2312" w:hAnsi="仿宋" w:eastAsia="仿宋_GB2312" w:cs="宋体"/>
                <w:color w:val="000000"/>
                <w:kern w:val="0"/>
              </w:rPr>
            </w:pPr>
            <w:r>
              <w:rPr>
                <w:rFonts w:hint="eastAsia" w:ascii="仿宋_GB2312" w:hAnsi="仿宋" w:eastAsia="仿宋_GB2312" w:cs="宋体"/>
                <w:color w:val="000000"/>
                <w:kern w:val="0"/>
              </w:rPr>
              <w:t>高度尺寸分别为：</w:t>
            </w:r>
          </w:p>
          <w:p>
            <w:pPr>
              <w:spacing w:line="360" w:lineRule="auto"/>
              <w:rPr>
                <w:rFonts w:ascii="仿宋_GB2312" w:hAnsi="仿宋_GB2312" w:eastAsia="仿宋_GB2312" w:cs="仿宋_GB2312"/>
              </w:rPr>
            </w:pPr>
            <w:r>
              <w:rPr>
                <w:rFonts w:hint="eastAsia" w:ascii="仿宋_GB2312" w:hAnsi="仿宋" w:eastAsia="仿宋_GB2312" w:cs="宋体"/>
                <w:color w:val="000000"/>
                <w:kern w:val="0"/>
              </w:rPr>
              <w:t>0.54m、0.75m、0.95m</w:t>
            </w:r>
            <w:r>
              <w:rPr>
                <w:rFonts w:hint="eastAsia" w:ascii="仿宋_GB2312" w:hAnsi="仿宋" w:eastAsia="仿宋_GB2312" w:cs="宋体"/>
                <w:color w:val="000000"/>
                <w:kern w:val="0"/>
              </w:rPr>
              <w:br w:type="textWrapping"/>
            </w:r>
          </w:p>
        </w:tc>
        <w:tc>
          <w:tcPr>
            <w:tcW w:w="993" w:type="dxa"/>
            <w:vAlign w:val="center"/>
          </w:tcPr>
          <w:p>
            <w:pPr>
              <w:spacing w:line="360" w:lineRule="auto"/>
              <w:rPr>
                <w:rFonts w:ascii="仿宋_GB2312" w:hAnsi="仿宋_GB2312" w:eastAsia="仿宋_GB2312" w:cs="仿宋_GB2312"/>
                <w:sz w:val="24"/>
              </w:rPr>
            </w:pPr>
            <w:r>
              <w:rPr>
                <w:rFonts w:hint="eastAsia" w:ascii="仿宋_GB2312" w:hAnsi="仿宋" w:eastAsia="仿宋_GB2312" w:cs="宋体"/>
                <w:color w:val="000000"/>
                <w:kern w:val="0"/>
              </w:rPr>
              <w:t>口径：内径0.39m，外径0.43m</w:t>
            </w:r>
            <w:r>
              <w:rPr>
                <w:rFonts w:hint="eastAsia" w:ascii="仿宋_GB2312" w:hAnsi="仿宋" w:eastAsia="仿宋_GB2312" w:cs="宋体"/>
                <w:color w:val="000000"/>
                <w:kern w:val="0"/>
              </w:rPr>
              <w:br w:type="textWrapping"/>
            </w:r>
            <w:r>
              <w:rPr>
                <w:rFonts w:hint="eastAsia" w:ascii="仿宋_GB2312" w:hAnsi="仿宋" w:eastAsia="仿宋_GB2312" w:cs="宋体"/>
                <w:color w:val="000000"/>
                <w:kern w:val="0"/>
              </w:rPr>
              <w:t>底座：0.33m</w:t>
            </w:r>
          </w:p>
        </w:tc>
        <w:tc>
          <w:tcPr>
            <w:tcW w:w="1275" w:type="dxa"/>
            <w:vAlign w:val="center"/>
          </w:tcPr>
          <w:p>
            <w:pPr>
              <w:spacing w:line="360" w:lineRule="auto"/>
              <w:rPr>
                <w:rFonts w:ascii="仿宋_GB2312" w:hAnsi="仿宋_GB2312" w:eastAsia="仿宋_GB2312" w:cs="仿宋_GB2312"/>
                <w:sz w:val="24"/>
              </w:rPr>
            </w:pPr>
          </w:p>
        </w:tc>
        <w:tc>
          <w:tcPr>
            <w:tcW w:w="1134" w:type="dxa"/>
            <w:vAlign w:val="center"/>
          </w:tcPr>
          <w:p>
            <w:pPr>
              <w:spacing w:line="360" w:lineRule="auto"/>
              <w:rPr>
                <w:rFonts w:ascii="仿宋_GB2312" w:hAnsi="仿宋_GB2312" w:eastAsia="仿宋_GB2312" w:cs="仿宋_GB2312"/>
                <w:sz w:val="24"/>
              </w:rPr>
            </w:pPr>
          </w:p>
        </w:tc>
        <w:tc>
          <w:tcPr>
            <w:tcW w:w="993" w:type="dxa"/>
            <w:vAlign w:val="center"/>
          </w:tcPr>
          <w:p>
            <w:pPr>
              <w:spacing w:line="360" w:lineRule="auto"/>
              <w:rPr>
                <w:rFonts w:ascii="仿宋_GB2312" w:hAnsi="仿宋_GB2312" w:eastAsia="仿宋_GB2312" w:cs="仿宋_GB2312"/>
                <w:sz w:val="24"/>
              </w:rPr>
            </w:pPr>
          </w:p>
        </w:tc>
        <w:tc>
          <w:tcPr>
            <w:tcW w:w="1984" w:type="dxa"/>
            <w:vMerge w:val="continue"/>
            <w:vAlign w:val="center"/>
          </w:tcPr>
          <w:p>
            <w:pPr>
              <w:spacing w:line="360" w:lineRule="auto"/>
              <w:ind w:left="105" w:leftChars="50"/>
              <w:rPr>
                <w:rFonts w:ascii="仿宋_GB2312" w:hAnsi="仿宋_GB2312" w:eastAsia="仿宋_GB2312" w:cs="仿宋_GB2312"/>
                <w:sz w:val="24"/>
              </w:rPr>
            </w:pPr>
          </w:p>
        </w:tc>
        <w:tc>
          <w:tcPr>
            <w:tcW w:w="734" w:type="dxa"/>
            <w:vAlign w:val="center"/>
          </w:tcPr>
          <w:p>
            <w:pPr>
              <w:spacing w:line="360" w:lineRule="auto"/>
              <w:ind w:firstLine="480" w:firstLineChars="2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0" w:hRule="atLeast"/>
          <w:jc w:val="center"/>
        </w:trPr>
        <w:tc>
          <w:tcPr>
            <w:tcW w:w="1047" w:type="dxa"/>
            <w:vMerge w:val="restart"/>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三层外大厅二、三号门柱子前</w:t>
            </w:r>
          </w:p>
        </w:tc>
        <w:tc>
          <w:tcPr>
            <w:tcW w:w="1276"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榕树</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4</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3.0</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1.8</w:t>
            </w:r>
          </w:p>
        </w:tc>
        <w:tc>
          <w:tcPr>
            <w:tcW w:w="1275" w:type="dxa"/>
            <w:vAlign w:val="center"/>
          </w:tcPr>
          <w:p>
            <w:pPr>
              <w:spacing w:line="360" w:lineRule="auto"/>
              <w:rPr>
                <w:rFonts w:ascii="仿宋_GB2312" w:hAnsi="仿宋_GB2312" w:eastAsia="仿宋_GB2312" w:cs="仿宋_GB2312"/>
                <w:color w:val="C00000"/>
                <w:sz w:val="24"/>
              </w:rPr>
            </w:pPr>
          </w:p>
        </w:tc>
        <w:tc>
          <w:tcPr>
            <w:tcW w:w="1134" w:type="dxa"/>
            <w:vAlign w:val="center"/>
          </w:tcPr>
          <w:p>
            <w:pPr>
              <w:spacing w:line="360" w:lineRule="auto"/>
              <w:rPr>
                <w:rFonts w:ascii="仿宋_GB2312" w:hAnsi="仿宋_GB2312" w:eastAsia="仿宋_GB2312" w:cs="仿宋_GB2312"/>
                <w:color w:val="C00000"/>
                <w:sz w:val="24"/>
              </w:rPr>
            </w:pPr>
          </w:p>
        </w:tc>
        <w:tc>
          <w:tcPr>
            <w:tcW w:w="993" w:type="dxa"/>
            <w:vAlign w:val="center"/>
          </w:tcPr>
          <w:p>
            <w:pPr>
              <w:spacing w:line="360" w:lineRule="auto"/>
              <w:rPr>
                <w:rFonts w:ascii="仿宋_GB2312" w:hAnsi="仿宋_GB2312" w:eastAsia="仿宋_GB2312" w:cs="仿宋_GB2312"/>
                <w:color w:val="C00000"/>
                <w:sz w:val="24"/>
              </w:rPr>
            </w:pPr>
          </w:p>
        </w:tc>
        <w:tc>
          <w:tcPr>
            <w:tcW w:w="1984" w:type="dxa"/>
            <w:vAlign w:val="center"/>
          </w:tcPr>
          <w:p>
            <w:pPr>
              <w:spacing w:line="360" w:lineRule="auto"/>
              <w:jc w:val="left"/>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参照图片如下：</w:t>
            </w:r>
            <w:r>
              <w:rPr>
                <w:rFonts w:hint="eastAsia" w:ascii="仿宋_GB2312" w:hAnsi="仿宋_GB2312" w:eastAsia="仿宋_GB2312" w:cs="仿宋_GB2312"/>
                <w:color w:val="C00000"/>
                <w:sz w:val="24"/>
              </w:rPr>
              <w:drawing>
                <wp:inline distT="0" distB="0" distL="0" distR="0">
                  <wp:extent cx="966470" cy="1222375"/>
                  <wp:effectExtent l="19050" t="0" r="5002" b="0"/>
                  <wp:docPr id="41" name="图片 60" descr="微信图片_20181030074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0" descr="微信图片_20181030074204"/>
                          <pic:cNvPicPr>
                            <a:picLocks noChangeAspect="1" noChangeArrowheads="1"/>
                          </pic:cNvPicPr>
                        </pic:nvPicPr>
                        <pic:blipFill>
                          <a:blip r:embed="rId6" cstate="print"/>
                          <a:srcRect/>
                          <a:stretch>
                            <a:fillRect/>
                          </a:stretch>
                        </pic:blipFill>
                        <pic:spPr>
                          <a:xfrm>
                            <a:off x="0" y="0"/>
                            <a:ext cx="967745" cy="1224259"/>
                          </a:xfrm>
                          <a:prstGeom prst="rect">
                            <a:avLst/>
                          </a:prstGeom>
                          <a:noFill/>
                          <a:ln w="9525">
                            <a:noFill/>
                            <a:miter lim="800000"/>
                            <a:headEnd/>
                            <a:tailEnd/>
                          </a:ln>
                          <a:effectLst/>
                        </pic:spPr>
                      </pic:pic>
                    </a:graphicData>
                  </a:graphic>
                </wp:inline>
              </w:drawing>
            </w:r>
          </w:p>
        </w:tc>
        <w:tc>
          <w:tcPr>
            <w:tcW w:w="734" w:type="dxa"/>
            <w:vAlign w:val="center"/>
          </w:tcPr>
          <w:p>
            <w:pPr>
              <w:spacing w:line="360" w:lineRule="auto"/>
              <w:ind w:firstLine="480" w:firstLineChars="200"/>
              <w:rPr>
                <w:rFonts w:ascii="仿宋_GB2312" w:hAnsi="仿宋_GB2312" w:eastAsia="仿宋_GB2312" w:cs="仿宋_GB2312"/>
                <w:color w:val="C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690" w:hRule="atLeast"/>
          <w:jc w:val="center"/>
        </w:trPr>
        <w:tc>
          <w:tcPr>
            <w:tcW w:w="1047" w:type="dxa"/>
            <w:vMerge w:val="continue"/>
            <w:vAlign w:val="center"/>
          </w:tcPr>
          <w:p>
            <w:pPr>
              <w:spacing w:line="360" w:lineRule="auto"/>
              <w:rPr>
                <w:rFonts w:ascii="仿宋_GB2312" w:hAnsi="仿宋_GB2312" w:eastAsia="仿宋_GB2312" w:cs="仿宋_GB2312"/>
                <w:color w:val="C00000"/>
                <w:sz w:val="24"/>
              </w:rPr>
            </w:pPr>
          </w:p>
        </w:tc>
        <w:tc>
          <w:tcPr>
            <w:tcW w:w="1276"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万年青</w:t>
            </w:r>
          </w:p>
        </w:tc>
        <w:tc>
          <w:tcPr>
            <w:tcW w:w="850"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40</w:t>
            </w:r>
          </w:p>
        </w:tc>
        <w:tc>
          <w:tcPr>
            <w:tcW w:w="992"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993" w:type="dxa"/>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0.35</w:t>
            </w:r>
          </w:p>
        </w:tc>
        <w:tc>
          <w:tcPr>
            <w:tcW w:w="1275" w:type="dxa"/>
            <w:vAlign w:val="center"/>
          </w:tcPr>
          <w:p>
            <w:pPr>
              <w:spacing w:line="360" w:lineRule="auto"/>
              <w:rPr>
                <w:rFonts w:ascii="仿宋_GB2312" w:hAnsi="仿宋_GB2312" w:eastAsia="仿宋_GB2312" w:cs="仿宋_GB2312"/>
                <w:color w:val="C00000"/>
                <w:sz w:val="24"/>
              </w:rPr>
            </w:pPr>
          </w:p>
        </w:tc>
        <w:tc>
          <w:tcPr>
            <w:tcW w:w="1134" w:type="dxa"/>
            <w:vAlign w:val="center"/>
          </w:tcPr>
          <w:p>
            <w:pPr>
              <w:spacing w:line="360" w:lineRule="auto"/>
              <w:rPr>
                <w:rFonts w:ascii="仿宋_GB2312" w:hAnsi="仿宋_GB2312" w:eastAsia="仿宋_GB2312" w:cs="仿宋_GB2312"/>
                <w:color w:val="C00000"/>
                <w:sz w:val="24"/>
              </w:rPr>
            </w:pPr>
          </w:p>
        </w:tc>
        <w:tc>
          <w:tcPr>
            <w:tcW w:w="993" w:type="dxa"/>
            <w:vAlign w:val="center"/>
          </w:tcPr>
          <w:p>
            <w:pPr>
              <w:spacing w:line="360" w:lineRule="auto"/>
              <w:rPr>
                <w:rFonts w:ascii="仿宋_GB2312" w:hAnsi="仿宋_GB2312" w:eastAsia="仿宋_GB2312" w:cs="仿宋_GB2312"/>
                <w:color w:val="C00000"/>
                <w:sz w:val="24"/>
              </w:rPr>
            </w:pPr>
          </w:p>
        </w:tc>
        <w:tc>
          <w:tcPr>
            <w:tcW w:w="1984" w:type="dxa"/>
            <w:vAlign w:val="center"/>
          </w:tcPr>
          <w:p>
            <w:pPr>
              <w:spacing w:line="360" w:lineRule="auto"/>
              <w:ind w:firstLine="480" w:firstLineChars="200"/>
              <w:rPr>
                <w:rFonts w:ascii="仿宋_GB2312" w:hAnsi="仿宋_GB2312" w:eastAsia="仿宋_GB2312" w:cs="仿宋_GB2312"/>
                <w:color w:val="C00000"/>
                <w:sz w:val="24"/>
              </w:rPr>
            </w:pPr>
          </w:p>
        </w:tc>
        <w:tc>
          <w:tcPr>
            <w:tcW w:w="734" w:type="dxa"/>
            <w:vAlign w:val="center"/>
          </w:tcPr>
          <w:p>
            <w:pPr>
              <w:spacing w:line="360" w:lineRule="auto"/>
              <w:ind w:firstLine="480" w:firstLineChars="200"/>
              <w:rPr>
                <w:rFonts w:ascii="仿宋_GB2312" w:hAnsi="仿宋_GB2312" w:eastAsia="仿宋_GB2312" w:cs="仿宋_GB2312"/>
                <w:color w:val="C00000"/>
                <w:sz w:val="24"/>
              </w:rPr>
            </w:pPr>
          </w:p>
        </w:tc>
      </w:tr>
    </w:tbl>
    <w:p>
      <w:pPr>
        <w:spacing w:line="360" w:lineRule="auto"/>
        <w:jc w:val="left"/>
        <w:rPr>
          <w:rFonts w:ascii="仿宋_GB2312" w:hAnsi="仿宋_GB2312" w:eastAsia="仿宋_GB2312" w:cs="仿宋_GB2312"/>
          <w:b/>
          <w:bCs/>
          <w:sz w:val="24"/>
        </w:rPr>
      </w:pPr>
    </w:p>
    <w:p>
      <w:pPr>
        <w:spacing w:line="360" w:lineRule="auto"/>
        <w:jc w:val="left"/>
        <w:rPr>
          <w:rFonts w:ascii="仿宋_GB2312" w:hAnsi="仿宋_GB2312" w:eastAsia="仿宋_GB2312" w:cs="仿宋_GB2312"/>
          <w:b/>
          <w:bCs/>
          <w:sz w:val="24"/>
        </w:rPr>
      </w:pPr>
    </w:p>
    <w:p>
      <w:pPr>
        <w:spacing w:line="360" w:lineRule="auto"/>
        <w:jc w:val="left"/>
        <w:rPr>
          <w:rFonts w:ascii="仿宋_GB2312" w:hAnsi="仿宋_GB2312" w:eastAsia="仿宋_GB2312" w:cs="仿宋_GB2312"/>
          <w:b/>
          <w:bCs/>
          <w:sz w:val="24"/>
        </w:rPr>
      </w:pPr>
    </w:p>
    <w:p>
      <w:pPr>
        <w:spacing w:line="360" w:lineRule="auto"/>
        <w:jc w:val="left"/>
        <w:rPr>
          <w:rFonts w:ascii="仿宋" w:hAnsi="仿宋" w:eastAsia="仿宋" w:cs="Cambria"/>
          <w:b/>
          <w:bCs/>
          <w:kern w:val="0"/>
          <w:sz w:val="28"/>
          <w:szCs w:val="32"/>
        </w:rPr>
      </w:pPr>
      <w:r>
        <w:rPr>
          <w:rFonts w:hint="eastAsia" w:ascii="仿宋" w:hAnsi="仿宋" w:eastAsia="仿宋" w:cs="Cambria"/>
          <w:b/>
          <w:bCs/>
          <w:kern w:val="0"/>
          <w:sz w:val="28"/>
          <w:szCs w:val="32"/>
        </w:rPr>
        <w:t>2、国内到达行李提取大厅</w:t>
      </w:r>
    </w:p>
    <w:tbl>
      <w:tblPr>
        <w:tblStyle w:val="14"/>
        <w:tblW w:w="10908" w:type="dxa"/>
        <w:jc w:val="center"/>
        <w:tblInd w:w="-1236" w:type="dxa"/>
        <w:tblLayout w:type="fixed"/>
        <w:tblCellMar>
          <w:top w:w="15" w:type="dxa"/>
          <w:left w:w="15" w:type="dxa"/>
          <w:bottom w:w="15" w:type="dxa"/>
          <w:right w:w="15" w:type="dxa"/>
        </w:tblCellMar>
      </w:tblPr>
      <w:tblGrid>
        <w:gridCol w:w="1712"/>
        <w:gridCol w:w="1560"/>
        <w:gridCol w:w="1039"/>
        <w:gridCol w:w="720"/>
        <w:gridCol w:w="915"/>
        <w:gridCol w:w="1223"/>
        <w:gridCol w:w="1035"/>
        <w:gridCol w:w="1055"/>
        <w:gridCol w:w="1649"/>
      </w:tblGrid>
      <w:tr>
        <w:tblPrEx>
          <w:tblLayout w:type="fixed"/>
          <w:tblCellMar>
            <w:top w:w="15" w:type="dxa"/>
            <w:left w:w="15" w:type="dxa"/>
            <w:bottom w:w="15" w:type="dxa"/>
            <w:right w:w="15" w:type="dxa"/>
          </w:tblCellMar>
        </w:tblPrEx>
        <w:trPr>
          <w:trHeight w:val="735" w:hRule="atLeast"/>
          <w:jc w:val="center"/>
        </w:trPr>
        <w:tc>
          <w:tcPr>
            <w:tcW w:w="171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区域</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花名</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数量</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649"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4" w:firstLineChars="6"/>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495" w:hRule="atLeast"/>
          <w:jc w:val="center"/>
        </w:trPr>
        <w:tc>
          <w:tcPr>
            <w:tcW w:w="171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行李提取大厅</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国王叶子</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2.2</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行查办公室</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心叶腾</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地服经理室</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发财树(单）</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3</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单杆绿宝树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2.2</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金钻</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会议室</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散尾葵</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2.2</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福禄桐</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绿萝</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中航信</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平安树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航站区管理部</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鸭脚木</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平安树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金钱树</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1712"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绿萝</w:t>
            </w:r>
          </w:p>
        </w:tc>
        <w:tc>
          <w:tcPr>
            <w:tcW w:w="103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9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w:t>
            </w:r>
          </w:p>
        </w:tc>
        <w:tc>
          <w:tcPr>
            <w:tcW w:w="122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49"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r>
    </w:tbl>
    <w:p>
      <w:pPr>
        <w:spacing w:line="360" w:lineRule="auto"/>
        <w:jc w:val="left"/>
        <w:rPr>
          <w:rFonts w:ascii="仿宋" w:hAnsi="仿宋" w:eastAsia="仿宋" w:cs="Cambria"/>
          <w:b/>
          <w:bCs/>
          <w:kern w:val="0"/>
          <w:sz w:val="28"/>
          <w:szCs w:val="32"/>
        </w:rPr>
      </w:pPr>
    </w:p>
    <w:p>
      <w:pPr>
        <w:spacing w:line="360" w:lineRule="auto"/>
        <w:jc w:val="left"/>
        <w:rPr>
          <w:rFonts w:ascii="仿宋" w:hAnsi="仿宋" w:eastAsia="仿宋" w:cs="Cambria"/>
          <w:b/>
          <w:bCs/>
          <w:kern w:val="0"/>
          <w:sz w:val="28"/>
          <w:szCs w:val="32"/>
        </w:rPr>
      </w:pPr>
      <w:r>
        <w:rPr>
          <w:rFonts w:hint="eastAsia" w:ascii="仿宋" w:hAnsi="仿宋" w:eastAsia="仿宋" w:cs="Cambria"/>
          <w:b/>
          <w:bCs/>
          <w:kern w:val="0"/>
          <w:sz w:val="28"/>
          <w:szCs w:val="32"/>
        </w:rPr>
        <w:t>3、机坪行李分拣大厅办公室</w:t>
      </w:r>
    </w:p>
    <w:p>
      <w:pPr>
        <w:spacing w:line="360" w:lineRule="auto"/>
        <w:ind w:firstLine="422" w:firstLineChars="200"/>
        <w:rPr>
          <w:rFonts w:ascii="仿宋_GB2312" w:hAnsi="宋体" w:eastAsia="仿宋_GB2312"/>
          <w:b/>
        </w:rPr>
      </w:pPr>
    </w:p>
    <w:tbl>
      <w:tblPr>
        <w:tblStyle w:val="14"/>
        <w:tblW w:w="9902" w:type="dxa"/>
        <w:jc w:val="center"/>
        <w:tblInd w:w="0" w:type="dxa"/>
        <w:tblLayout w:type="fixed"/>
        <w:tblCellMar>
          <w:top w:w="15" w:type="dxa"/>
          <w:left w:w="15" w:type="dxa"/>
          <w:bottom w:w="15" w:type="dxa"/>
          <w:right w:w="15" w:type="dxa"/>
        </w:tblCellMar>
      </w:tblPr>
      <w:tblGrid>
        <w:gridCol w:w="1292"/>
        <w:gridCol w:w="1603"/>
        <w:gridCol w:w="895"/>
        <w:gridCol w:w="829"/>
        <w:gridCol w:w="720"/>
        <w:gridCol w:w="1352"/>
        <w:gridCol w:w="1173"/>
        <w:gridCol w:w="933"/>
        <w:gridCol w:w="1105"/>
      </w:tblGrid>
      <w:tr>
        <w:tblPrEx>
          <w:tblLayout w:type="fixed"/>
          <w:tblCellMar>
            <w:top w:w="15" w:type="dxa"/>
            <w:left w:w="15" w:type="dxa"/>
            <w:bottom w:w="15" w:type="dxa"/>
            <w:right w:w="15" w:type="dxa"/>
          </w:tblCellMar>
        </w:tblPrEx>
        <w:trPr>
          <w:trHeight w:val="675" w:hRule="atLeast"/>
          <w:jc w:val="center"/>
        </w:trPr>
        <w:tc>
          <w:tcPr>
            <w:tcW w:w="12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区域</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花名</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数量</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72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1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2F-C240</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2F-C239</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2F-C238</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2F-C237</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平安树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2F-C236</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鹅掌木</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2F-C235</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黑金刚</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3</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2F-C234</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福禄桐</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2C-215</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富贵竹笼</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2C-214</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特车办公室</w:t>
            </w: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发财树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1.7</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平安树</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黑金刚</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30" w:hRule="atLeast"/>
          <w:jc w:val="center"/>
        </w:trPr>
        <w:tc>
          <w:tcPr>
            <w:tcW w:w="129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60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9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82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35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7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0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bl>
    <w:p>
      <w:pPr>
        <w:spacing w:line="360" w:lineRule="auto"/>
        <w:jc w:val="left"/>
        <w:rPr>
          <w:rFonts w:ascii="仿宋_GB2312" w:hAnsi="宋体" w:eastAsia="仿宋_GB2312"/>
          <w:b/>
        </w:rPr>
      </w:pPr>
    </w:p>
    <w:p>
      <w:pPr>
        <w:adjustRightInd w:val="0"/>
        <w:spacing w:line="360" w:lineRule="auto"/>
        <w:rPr>
          <w:rFonts w:ascii="仿宋" w:hAnsi="仿宋" w:eastAsia="仿宋" w:cs="Cambria"/>
          <w:b/>
          <w:bCs/>
          <w:kern w:val="0"/>
          <w:sz w:val="28"/>
          <w:szCs w:val="32"/>
        </w:rPr>
      </w:pPr>
      <w:r>
        <w:rPr>
          <w:rFonts w:hint="eastAsia" w:ascii="仿宋_GB2312" w:hAnsi="仿宋_GB2312" w:eastAsia="仿宋_GB2312" w:cs="仿宋_GB2312"/>
          <w:b/>
          <w:bCs/>
          <w:sz w:val="24"/>
        </w:rPr>
        <w:t>4、</w:t>
      </w:r>
      <w:r>
        <w:rPr>
          <w:rFonts w:hint="eastAsia" w:ascii="仿宋" w:hAnsi="仿宋" w:eastAsia="仿宋" w:cs="Cambria"/>
          <w:b/>
          <w:bCs/>
          <w:kern w:val="0"/>
          <w:sz w:val="28"/>
          <w:szCs w:val="32"/>
        </w:rPr>
        <w:t>隔离区国内到达走廊</w:t>
      </w:r>
    </w:p>
    <w:tbl>
      <w:tblPr>
        <w:tblStyle w:val="14"/>
        <w:tblW w:w="10988" w:type="dxa"/>
        <w:jc w:val="center"/>
        <w:tblInd w:w="0" w:type="dxa"/>
        <w:tblLayout w:type="fixed"/>
        <w:tblCellMar>
          <w:top w:w="15" w:type="dxa"/>
          <w:left w:w="15" w:type="dxa"/>
          <w:bottom w:w="15" w:type="dxa"/>
          <w:right w:w="15" w:type="dxa"/>
        </w:tblCellMar>
      </w:tblPr>
      <w:tblGrid>
        <w:gridCol w:w="891"/>
        <w:gridCol w:w="992"/>
        <w:gridCol w:w="709"/>
        <w:gridCol w:w="2562"/>
        <w:gridCol w:w="873"/>
        <w:gridCol w:w="970"/>
        <w:gridCol w:w="22"/>
        <w:gridCol w:w="1112"/>
        <w:gridCol w:w="22"/>
        <w:gridCol w:w="1134"/>
        <w:gridCol w:w="1134"/>
        <w:gridCol w:w="567"/>
      </w:tblGrid>
      <w:tr>
        <w:tblPrEx>
          <w:tblLayout w:type="fixed"/>
          <w:tblCellMar>
            <w:top w:w="15" w:type="dxa"/>
            <w:left w:w="15" w:type="dxa"/>
            <w:bottom w:w="15" w:type="dxa"/>
            <w:right w:w="15" w:type="dxa"/>
          </w:tblCellMar>
        </w:tblPrEx>
        <w:trPr>
          <w:trHeight w:val="690" w:hRule="atLeast"/>
          <w:jc w:val="center"/>
        </w:trPr>
        <w:tc>
          <w:tcPr>
            <w:tcW w:w="89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区域</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名称</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数量</w:t>
            </w:r>
          </w:p>
        </w:tc>
        <w:tc>
          <w:tcPr>
            <w:tcW w:w="256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87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992" w:type="dxa"/>
            <w:gridSpan w:val="2"/>
            <w:tcBorders>
              <w:top w:val="single" w:color="000000" w:sz="4" w:space="0"/>
              <w:left w:val="single" w:color="000000" w:sz="4" w:space="0"/>
              <w:bottom w:val="single" w:color="000000" w:sz="4" w:space="0"/>
              <w:right w:val="single" w:color="000000" w:sz="4" w:space="0"/>
            </w:tcBorders>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备注</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465" w:hRule="atLeast"/>
          <w:jc w:val="center"/>
        </w:trPr>
        <w:tc>
          <w:tcPr>
            <w:tcW w:w="891"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隔离区国内到达走廊</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巴西美人</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32</w:t>
            </w:r>
          </w:p>
        </w:tc>
        <w:tc>
          <w:tcPr>
            <w:tcW w:w="256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7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992" w:type="dxa"/>
            <w:gridSpan w:val="2"/>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每个花箱容器摆放花卉8株</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vMerge w:val="restart"/>
            <w:tcBorders>
              <w:top w:val="single" w:color="000000" w:sz="4" w:space="0"/>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891"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变叶木</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32</w:t>
            </w:r>
          </w:p>
        </w:tc>
        <w:tc>
          <w:tcPr>
            <w:tcW w:w="256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73" w:type="dxa"/>
            <w:tcBorders>
              <w:top w:val="single" w:color="000000" w:sz="4" w:space="0"/>
              <w:left w:val="single" w:color="000000" w:sz="4" w:space="0"/>
              <w:bottom w:val="single" w:color="000000" w:sz="4" w:space="0"/>
              <w:right w:val="single" w:color="000000" w:sz="4" w:space="0"/>
            </w:tcBorders>
          </w:tcPr>
          <w:p>
            <w:r>
              <w:rPr>
                <w:rFonts w:hint="eastAsia" w:ascii="仿宋_GB2312" w:hAnsi="仿宋_GB2312" w:eastAsia="仿宋_GB2312" w:cs="仿宋_GB2312"/>
                <w:sz w:val="24"/>
              </w:rPr>
              <w:t>0.5</w:t>
            </w:r>
          </w:p>
        </w:tc>
        <w:tc>
          <w:tcPr>
            <w:tcW w:w="992" w:type="dxa"/>
            <w:gridSpan w:val="2"/>
            <w:vMerge w:val="continue"/>
            <w:tcBorders>
              <w:left w:val="single" w:color="000000" w:sz="4" w:space="0"/>
              <w:right w:val="single" w:color="000000" w:sz="4" w:space="0"/>
            </w:tcBorders>
          </w:tcPr>
          <w:p>
            <w:pPr>
              <w:spacing w:line="360" w:lineRule="auto"/>
              <w:rPr>
                <w:rFonts w:ascii="仿宋_GB2312" w:hAnsi="仿宋_GB2312" w:eastAsia="仿宋_GB2312" w:cs="仿宋_GB2312"/>
                <w:sz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vMerge w:val="continue"/>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891"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48</w:t>
            </w:r>
          </w:p>
        </w:tc>
        <w:tc>
          <w:tcPr>
            <w:tcW w:w="256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73" w:type="dxa"/>
            <w:tcBorders>
              <w:top w:val="single" w:color="000000" w:sz="4" w:space="0"/>
              <w:left w:val="single" w:color="000000" w:sz="4" w:space="0"/>
              <w:bottom w:val="single" w:color="000000" w:sz="4" w:space="0"/>
              <w:right w:val="single" w:color="000000" w:sz="4" w:space="0"/>
            </w:tcBorders>
          </w:tcPr>
          <w:p>
            <w:r>
              <w:rPr>
                <w:rFonts w:hint="eastAsia" w:ascii="仿宋_GB2312" w:hAnsi="仿宋_GB2312" w:eastAsia="仿宋_GB2312" w:cs="仿宋_GB2312"/>
                <w:sz w:val="24"/>
              </w:rPr>
              <w:t>0.5</w:t>
            </w:r>
          </w:p>
        </w:tc>
        <w:tc>
          <w:tcPr>
            <w:tcW w:w="992" w:type="dxa"/>
            <w:gridSpan w:val="2"/>
            <w:vMerge w:val="continue"/>
            <w:tcBorders>
              <w:left w:val="single" w:color="000000" w:sz="4" w:space="0"/>
              <w:right w:val="single" w:color="000000" w:sz="4" w:space="0"/>
            </w:tcBorders>
          </w:tcPr>
          <w:p>
            <w:pPr>
              <w:spacing w:line="360" w:lineRule="auto"/>
              <w:rPr>
                <w:rFonts w:ascii="仿宋_GB2312" w:hAnsi="仿宋_GB2312" w:eastAsia="仿宋_GB2312" w:cs="仿宋_GB2312"/>
                <w:sz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vMerge w:val="continue"/>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891" w:type="dxa"/>
            <w:vMerge w:val="continue"/>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32</w:t>
            </w:r>
          </w:p>
        </w:tc>
        <w:tc>
          <w:tcPr>
            <w:tcW w:w="256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873" w:type="dxa"/>
            <w:tcBorders>
              <w:top w:val="single" w:color="000000" w:sz="4" w:space="0"/>
              <w:left w:val="single" w:color="000000" w:sz="4" w:space="0"/>
              <w:bottom w:val="single" w:color="000000" w:sz="4" w:space="0"/>
              <w:right w:val="single" w:color="000000" w:sz="4" w:space="0"/>
            </w:tcBorders>
            <w:vAlign w:val="center"/>
          </w:tcPr>
          <w:p>
            <w:r>
              <w:rPr>
                <w:rFonts w:hint="eastAsia" w:ascii="仿宋_GB2312" w:hAnsi="仿宋_GB2312" w:eastAsia="仿宋_GB2312" w:cs="仿宋_GB2312"/>
                <w:sz w:val="24"/>
              </w:rPr>
              <w:t>0.5</w:t>
            </w:r>
          </w:p>
        </w:tc>
        <w:tc>
          <w:tcPr>
            <w:tcW w:w="992" w:type="dxa"/>
            <w:gridSpan w:val="2"/>
            <w:vMerge w:val="continue"/>
            <w:tcBorders>
              <w:left w:val="single" w:color="000000" w:sz="4" w:space="0"/>
              <w:right w:val="single" w:color="000000" w:sz="4" w:space="0"/>
            </w:tcBorders>
          </w:tcPr>
          <w:p>
            <w:pPr>
              <w:spacing w:line="360" w:lineRule="auto"/>
              <w:rPr>
                <w:rFonts w:ascii="仿宋_GB2312" w:hAnsi="仿宋_GB2312" w:eastAsia="仿宋_GB2312" w:cs="仿宋_GB2312"/>
                <w:sz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vMerge w:val="continue"/>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002" w:hRule="atLeast"/>
          <w:jc w:val="center"/>
        </w:trPr>
        <w:tc>
          <w:tcPr>
            <w:tcW w:w="891" w:type="dxa"/>
            <w:vMerge w:val="continue"/>
            <w:tcBorders>
              <w:top w:val="single" w:color="auto"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大理石</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花箱</w:t>
            </w:r>
          </w:p>
        </w:tc>
        <w:tc>
          <w:tcPr>
            <w:tcW w:w="709"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2562"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定制尺寸：长高宽</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为160cm*65cm*45cm</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颜色：内为白色，外为棕红色</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材质：大理石及实木材等</w:t>
            </w:r>
          </w:p>
        </w:tc>
        <w:tc>
          <w:tcPr>
            <w:tcW w:w="4133" w:type="dxa"/>
            <w:gridSpan w:val="6"/>
            <w:tcBorders>
              <w:top w:val="single" w:color="000000" w:sz="4" w:space="0"/>
              <w:left w:val="single" w:color="000000" w:sz="4" w:space="0"/>
              <w:bottom w:val="single" w:color="auto"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drawing>
                <wp:anchor distT="0" distB="0" distL="114300" distR="114300" simplePos="0" relativeHeight="251674624" behindDoc="0" locked="0" layoutInCell="1" allowOverlap="1">
                  <wp:simplePos x="0" y="0"/>
                  <wp:positionH relativeFrom="page">
                    <wp:posOffset>61595</wp:posOffset>
                  </wp:positionH>
                  <wp:positionV relativeFrom="page">
                    <wp:posOffset>553085</wp:posOffset>
                  </wp:positionV>
                  <wp:extent cx="1947545" cy="1275715"/>
                  <wp:effectExtent l="19050" t="0" r="0" b="0"/>
                  <wp:wrapSquare wrapText="bothSides"/>
                  <wp:docPr id="54" name="图片 6" descr="49501369947084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descr="495013699470840088"/>
                          <pic:cNvPicPr>
                            <a:picLocks noChangeAspect="1" noChangeArrowheads="1"/>
                          </pic:cNvPicPr>
                        </pic:nvPicPr>
                        <pic:blipFill>
                          <a:blip r:embed="rId7" cstate="print"/>
                          <a:srcRect/>
                          <a:stretch>
                            <a:fillRect/>
                          </a:stretch>
                        </pic:blipFill>
                        <pic:spPr>
                          <a:xfrm>
                            <a:off x="0" y="0"/>
                            <a:ext cx="1947545" cy="1275715"/>
                          </a:xfrm>
                          <a:prstGeom prst="rect">
                            <a:avLst/>
                          </a:prstGeom>
                          <a:noFill/>
                          <a:ln w="9525">
                            <a:noFill/>
                            <a:miter lim="800000"/>
                            <a:headEnd/>
                            <a:tailEnd/>
                          </a:ln>
                        </pic:spPr>
                      </pic:pic>
                    </a:graphicData>
                  </a:graphic>
                </wp:anchor>
              </w:drawing>
            </w:r>
            <w:r>
              <w:rPr>
                <w:rFonts w:hint="eastAsia" w:ascii="仿宋_GB2312" w:hAnsi="仿宋_GB2312" w:eastAsia="仿宋_GB2312" w:cs="仿宋_GB2312"/>
                <w:sz w:val="24"/>
              </w:rPr>
              <w:t>参照图片如下：</w:t>
            </w:r>
          </w:p>
        </w:tc>
        <w:tc>
          <w:tcPr>
            <w:tcW w:w="1134"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tcBorders>
              <w:left w:val="single" w:color="000000" w:sz="4" w:space="0"/>
              <w:bottom w:val="single" w:color="auto"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626" w:hRule="atLeast"/>
          <w:jc w:val="center"/>
        </w:trPr>
        <w:tc>
          <w:tcPr>
            <w:tcW w:w="891" w:type="dxa"/>
            <w:tcBorders>
              <w:top w:val="single" w:color="auto"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隔离区国内到达走廊</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多支玫瑰</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256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pPr>
              <w:rPr>
                <w:rFonts w:ascii="仿宋_GB2312" w:hAnsi="仿宋_GB2312" w:eastAsia="仿宋_GB2312" w:cs="仿宋_GB2312"/>
                <w:sz w:val="24"/>
              </w:rPr>
            </w:pPr>
            <w:r>
              <w:rPr>
                <w:rFonts w:hint="eastAsia" w:ascii="仿宋_GB2312" w:hAnsi="仿宋_GB2312" w:eastAsia="仿宋_GB2312" w:cs="仿宋_GB2312"/>
                <w:sz w:val="24"/>
              </w:rPr>
              <w:t>0.6</w:t>
            </w:r>
          </w:p>
        </w:tc>
        <w:tc>
          <w:tcPr>
            <w:tcW w:w="1134" w:type="dxa"/>
            <w:gridSpan w:val="2"/>
            <w:tcBorders>
              <w:top w:val="single" w:color="000000" w:sz="4" w:space="0"/>
              <w:left w:val="single" w:color="000000" w:sz="4" w:space="0"/>
              <w:bottom w:val="single" w:color="000000" w:sz="4" w:space="0"/>
              <w:right w:val="single" w:color="000000" w:sz="4" w:space="0"/>
            </w:tcBorders>
          </w:tcPr>
          <w:p>
            <w:pPr>
              <w:rPr>
                <w:rFonts w:ascii="仿宋_GB2312" w:hAnsi="仿宋_GB2312" w:eastAsia="仿宋_GB2312" w:cs="仿宋_GB2312"/>
                <w:sz w:val="24"/>
              </w:rPr>
            </w:pPr>
          </w:p>
        </w:tc>
        <w:tc>
          <w:tcPr>
            <w:tcW w:w="1156" w:type="dxa"/>
            <w:gridSpan w:val="2"/>
            <w:tcBorders>
              <w:top w:val="single" w:color="000000" w:sz="4" w:space="0"/>
              <w:left w:val="single" w:color="000000" w:sz="4" w:space="0"/>
              <w:bottom w:val="single" w:color="000000" w:sz="4" w:space="0"/>
              <w:right w:val="single" w:color="000000" w:sz="4" w:space="0"/>
            </w:tcBorders>
          </w:tcPr>
          <w:p>
            <w:pPr>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567" w:type="dxa"/>
            <w:tcBorders>
              <w:left w:val="single" w:color="000000" w:sz="4" w:space="0"/>
              <w:bottom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bl>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5、民族服饰玻璃墙体花坛</w:t>
      </w:r>
    </w:p>
    <w:tbl>
      <w:tblPr>
        <w:tblStyle w:val="14"/>
        <w:tblW w:w="9840" w:type="dxa"/>
        <w:jc w:val="center"/>
        <w:tblInd w:w="0" w:type="dxa"/>
        <w:tblLayout w:type="fixed"/>
        <w:tblCellMar>
          <w:top w:w="15" w:type="dxa"/>
          <w:left w:w="15" w:type="dxa"/>
          <w:bottom w:w="15" w:type="dxa"/>
          <w:right w:w="15" w:type="dxa"/>
        </w:tblCellMar>
      </w:tblPr>
      <w:tblGrid>
        <w:gridCol w:w="2415"/>
        <w:gridCol w:w="913"/>
        <w:gridCol w:w="793"/>
        <w:gridCol w:w="828"/>
        <w:gridCol w:w="1342"/>
        <w:gridCol w:w="1159"/>
        <w:gridCol w:w="1245"/>
        <w:gridCol w:w="1145"/>
      </w:tblGrid>
      <w:tr>
        <w:tblPrEx>
          <w:tblLayout w:type="fixed"/>
          <w:tblCellMar>
            <w:top w:w="15" w:type="dxa"/>
            <w:left w:w="15" w:type="dxa"/>
            <w:bottom w:w="15" w:type="dxa"/>
            <w:right w:w="15" w:type="dxa"/>
          </w:tblCellMar>
        </w:tblPrEx>
        <w:trPr>
          <w:trHeight w:val="1022"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花名</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数量</w:t>
            </w:r>
          </w:p>
        </w:tc>
        <w:tc>
          <w:tcPr>
            <w:tcW w:w="79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高度（m</w:t>
            </w:r>
            <w:r>
              <w:rPr>
                <w:rFonts w:ascii="仿宋_GB2312" w:hAnsi="仿宋_GB2312" w:eastAsia="仿宋_GB2312" w:cs="仿宋_GB2312"/>
                <w:color w:val="0000FF"/>
                <w:sz w:val="24"/>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冠径(m)</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单价</w:t>
            </w:r>
            <w:r>
              <w:rPr>
                <w:rFonts w:hint="eastAsia" w:ascii="仿宋_GB2312" w:hAnsi="仿宋_GB2312" w:eastAsia="仿宋_GB2312" w:cs="仿宋_GB2312"/>
                <w:color w:val="0000FF"/>
                <w:sz w:val="24"/>
              </w:rPr>
              <w:br w:type="textWrapping"/>
            </w:r>
            <w:r>
              <w:rPr>
                <w:rFonts w:hint="eastAsia" w:ascii="仿宋_GB2312" w:hAnsi="仿宋_GB2312" w:eastAsia="仿宋_GB2312" w:cs="仿宋_GB2312"/>
                <w:color w:val="0000FF"/>
                <w:sz w:val="24"/>
              </w:rPr>
              <w:t>（元/月）</w:t>
            </w: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小计</w:t>
            </w:r>
            <w:r>
              <w:rPr>
                <w:rFonts w:hint="eastAsia" w:ascii="仿宋_GB2312" w:hAnsi="仿宋_GB2312" w:eastAsia="仿宋_GB2312" w:cs="仿宋_GB2312"/>
                <w:color w:val="0000FF"/>
                <w:sz w:val="24"/>
              </w:rPr>
              <w:br w:type="textWrapping"/>
            </w:r>
            <w:r>
              <w:rPr>
                <w:rFonts w:hint="eastAsia" w:ascii="仿宋_GB2312" w:hAnsi="仿宋_GB2312" w:eastAsia="仿宋_GB2312" w:cs="仿宋_GB2312"/>
                <w:color w:val="0000FF"/>
                <w:sz w:val="24"/>
              </w:rPr>
              <w:t>（元/月）</w:t>
            </w: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合计</w:t>
            </w:r>
            <w:r>
              <w:rPr>
                <w:rFonts w:hint="eastAsia" w:ascii="仿宋_GB2312" w:hAnsi="仿宋_GB2312" w:eastAsia="仿宋_GB2312" w:cs="仿宋_GB2312"/>
                <w:color w:val="0000FF"/>
                <w:sz w:val="24"/>
              </w:rPr>
              <w:br w:type="textWrapping"/>
            </w:r>
            <w:r>
              <w:rPr>
                <w:rFonts w:hint="eastAsia" w:ascii="仿宋_GB2312" w:hAnsi="仿宋_GB2312" w:eastAsia="仿宋_GB2312" w:cs="仿宋_GB2312"/>
                <w:color w:val="0000FF"/>
                <w:sz w:val="24"/>
              </w:rPr>
              <w:t>（12月）</w:t>
            </w:r>
          </w:p>
        </w:tc>
        <w:tc>
          <w:tcPr>
            <w:tcW w:w="11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年费用</w:t>
            </w: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发财王</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1</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1.8</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1.5</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单杆绿宝</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1</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2.0</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1.6</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变叶木</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20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0.65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0.45</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 xml:space="preserve"> 金星也门铁</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30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0.7</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0.5</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红叶朱焦</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40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0.4</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红掌</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30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0.45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0.4</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四季海棠</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40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0.35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0.3</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5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迎春花</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50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0.25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0.2</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r>
        <w:tblPrEx>
          <w:tblLayout w:type="fixed"/>
          <w:tblCellMar>
            <w:top w:w="15" w:type="dxa"/>
            <w:left w:w="15" w:type="dxa"/>
            <w:bottom w:w="15" w:type="dxa"/>
            <w:right w:w="15" w:type="dxa"/>
          </w:tblCellMar>
        </w:tblPrEx>
        <w:trPr>
          <w:trHeight w:val="666" w:hRule="atLeast"/>
          <w:jc w:val="center"/>
        </w:trPr>
        <w:tc>
          <w:tcPr>
            <w:tcW w:w="241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绿萝</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80</w:t>
            </w:r>
          </w:p>
        </w:tc>
        <w:tc>
          <w:tcPr>
            <w:tcW w:w="793"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0.25</w:t>
            </w:r>
          </w:p>
        </w:tc>
        <w:tc>
          <w:tcPr>
            <w:tcW w:w="82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0000FF"/>
                <w:sz w:val="24"/>
              </w:rPr>
            </w:pPr>
            <w:r>
              <w:rPr>
                <w:rFonts w:hint="eastAsia" w:ascii="仿宋_GB2312" w:hAnsi="仿宋_GB2312" w:eastAsia="仿宋_GB2312" w:cs="仿宋_GB2312"/>
                <w:color w:val="0000FF"/>
                <w:sz w:val="24"/>
              </w:rPr>
              <w:t>0.2</w:t>
            </w:r>
          </w:p>
        </w:tc>
        <w:tc>
          <w:tcPr>
            <w:tcW w:w="134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c>
          <w:tcPr>
            <w:tcW w:w="1145"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FF"/>
                <w:sz w:val="24"/>
              </w:rPr>
            </w:pPr>
          </w:p>
        </w:tc>
      </w:tr>
    </w:tbl>
    <w:p>
      <w:pPr>
        <w:spacing w:line="360" w:lineRule="auto"/>
        <w:jc w:val="left"/>
        <w:rPr>
          <w:rFonts w:ascii="仿宋_GB2312" w:hAnsi="宋体" w:eastAsia="仿宋_GB2312"/>
        </w:rPr>
      </w:pPr>
      <w:r>
        <w:rPr>
          <w:rFonts w:hint="eastAsia" w:ascii="仿宋_GB2312" w:hAnsi="宋体" w:eastAsia="仿宋_GB2312"/>
        </w:rPr>
        <w:t>花坛参考图片如下：</w:t>
      </w:r>
    </w:p>
    <w:p>
      <w:pPr>
        <w:spacing w:line="360" w:lineRule="auto"/>
        <w:jc w:val="left"/>
        <w:rPr>
          <w:rFonts w:ascii="仿宋_GB2312" w:hAnsi="宋体" w:eastAsia="仿宋_GB2312"/>
          <w:b/>
        </w:rPr>
      </w:pPr>
      <w:r>
        <w:rPr>
          <w:rFonts w:hint="eastAsia" w:ascii="仿宋_GB2312" w:hAnsi="宋体" w:eastAsia="仿宋_GB2312"/>
          <w:b/>
        </w:rPr>
        <w:drawing>
          <wp:inline distT="0" distB="0" distL="0" distR="0">
            <wp:extent cx="2115820" cy="2413000"/>
            <wp:effectExtent l="19050" t="0" r="0" b="0"/>
            <wp:docPr id="1" name="图片 98" descr="10bb373827d81ab7c6d4052d75e4d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8" descr="10bb373827d81ab7c6d4052d75e4d90"/>
                    <pic:cNvPicPr>
                      <a:picLocks noChangeAspect="1" noChangeArrowheads="1"/>
                    </pic:cNvPicPr>
                  </pic:nvPicPr>
                  <pic:blipFill>
                    <a:blip r:embed="rId8" cstate="print"/>
                    <a:srcRect/>
                    <a:stretch>
                      <a:fillRect/>
                    </a:stretch>
                  </pic:blipFill>
                  <pic:spPr>
                    <a:xfrm>
                      <a:off x="0" y="0"/>
                      <a:ext cx="2115820" cy="2413477"/>
                    </a:xfrm>
                    <a:prstGeom prst="rect">
                      <a:avLst/>
                    </a:prstGeom>
                    <a:noFill/>
                    <a:ln w="9525">
                      <a:noFill/>
                      <a:miter lim="800000"/>
                      <a:headEnd/>
                      <a:tailEnd/>
                    </a:ln>
                    <a:effectLst/>
                  </pic:spPr>
                </pic:pic>
              </a:graphicData>
            </a:graphic>
          </wp:inline>
        </w:drawing>
      </w:r>
      <w:r>
        <w:rPr>
          <w:rFonts w:hint="eastAsia" w:ascii="仿宋_GB2312" w:hAnsi="宋体" w:eastAsia="仿宋_GB2312"/>
          <w:b/>
        </w:rPr>
        <w:drawing>
          <wp:inline distT="0" distB="0" distL="0" distR="0">
            <wp:extent cx="2955290" cy="2232660"/>
            <wp:effectExtent l="19050" t="0" r="0" b="0"/>
            <wp:docPr id="2" name="图片 97" descr="93245b8fd71710c6b51cbbb4bb38d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7" descr="93245b8fd71710c6b51cbbb4bb38d00"/>
                    <pic:cNvPicPr>
                      <a:picLocks noChangeAspect="1" noChangeArrowheads="1"/>
                    </pic:cNvPicPr>
                  </pic:nvPicPr>
                  <pic:blipFill>
                    <a:blip r:embed="rId9" cstate="print"/>
                    <a:srcRect r="19055" b="16487"/>
                    <a:stretch>
                      <a:fillRect/>
                    </a:stretch>
                  </pic:blipFill>
                  <pic:spPr>
                    <a:xfrm>
                      <a:off x="0" y="0"/>
                      <a:ext cx="2955925" cy="2232849"/>
                    </a:xfrm>
                    <a:prstGeom prst="rect">
                      <a:avLst/>
                    </a:prstGeom>
                    <a:noFill/>
                    <a:ln w="9525">
                      <a:noFill/>
                      <a:miter lim="800000"/>
                      <a:headEnd/>
                      <a:tailEnd/>
                    </a:ln>
                    <a:effectLst/>
                  </pic:spPr>
                </pic:pic>
              </a:graphicData>
            </a:graphic>
          </wp:inline>
        </w:drawing>
      </w:r>
    </w:p>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6、夹层档箱区</w:t>
      </w:r>
    </w:p>
    <w:tbl>
      <w:tblPr>
        <w:tblStyle w:val="14"/>
        <w:tblW w:w="11400" w:type="dxa"/>
        <w:jc w:val="center"/>
        <w:tblInd w:w="0" w:type="dxa"/>
        <w:tblLayout w:type="fixed"/>
        <w:tblCellMar>
          <w:top w:w="15" w:type="dxa"/>
          <w:left w:w="15" w:type="dxa"/>
          <w:bottom w:w="15" w:type="dxa"/>
          <w:right w:w="15" w:type="dxa"/>
        </w:tblCellMar>
      </w:tblPr>
      <w:tblGrid>
        <w:gridCol w:w="1958"/>
        <w:gridCol w:w="877"/>
        <w:gridCol w:w="787"/>
        <w:gridCol w:w="604"/>
        <w:gridCol w:w="851"/>
        <w:gridCol w:w="992"/>
        <w:gridCol w:w="992"/>
        <w:gridCol w:w="1276"/>
        <w:gridCol w:w="1940"/>
        <w:gridCol w:w="1123"/>
      </w:tblGrid>
      <w:tr>
        <w:tblPrEx>
          <w:tblLayout w:type="fixed"/>
          <w:tblCellMar>
            <w:top w:w="15" w:type="dxa"/>
            <w:left w:w="15" w:type="dxa"/>
            <w:bottom w:w="15" w:type="dxa"/>
            <w:right w:w="15" w:type="dxa"/>
          </w:tblCellMar>
        </w:tblPrEx>
        <w:trPr>
          <w:trHeight w:val="585" w:hRule="atLeast"/>
          <w:jc w:val="center"/>
        </w:trPr>
        <w:tc>
          <w:tcPr>
            <w:tcW w:w="19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区域</w:t>
            </w:r>
          </w:p>
        </w:tc>
        <w:tc>
          <w:tcPr>
            <w:tcW w:w="87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花名</w:t>
            </w:r>
          </w:p>
        </w:tc>
        <w:tc>
          <w:tcPr>
            <w:tcW w:w="78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数量</w:t>
            </w:r>
          </w:p>
        </w:tc>
        <w:tc>
          <w:tcPr>
            <w:tcW w:w="6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9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备注</w:t>
            </w:r>
          </w:p>
        </w:tc>
        <w:tc>
          <w:tcPr>
            <w:tcW w:w="112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450" w:hRule="atLeast"/>
          <w:jc w:val="center"/>
        </w:trPr>
        <w:tc>
          <w:tcPr>
            <w:tcW w:w="195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夹层档箱（13箱）</w:t>
            </w:r>
          </w:p>
        </w:tc>
        <w:tc>
          <w:tcPr>
            <w:tcW w:w="87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78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26</w:t>
            </w:r>
          </w:p>
        </w:tc>
        <w:tc>
          <w:tcPr>
            <w:tcW w:w="604"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940"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由招标方提供25个档箱，档箱内花盆由投标方提供</w:t>
            </w:r>
          </w:p>
        </w:tc>
        <w:tc>
          <w:tcPr>
            <w:tcW w:w="1123"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50" w:hRule="atLeast"/>
          <w:jc w:val="center"/>
        </w:trPr>
        <w:tc>
          <w:tcPr>
            <w:tcW w:w="195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highlight w:val="green"/>
              </w:rPr>
            </w:pPr>
            <w:r>
              <w:rPr>
                <w:rFonts w:hint="eastAsia" w:ascii="仿宋_GB2312" w:hAnsi="仿宋_GB2312" w:eastAsia="仿宋_GB2312" w:cs="仿宋_GB2312"/>
                <w:sz w:val="24"/>
              </w:rPr>
              <w:t>夹层档箱（12箱）</w:t>
            </w:r>
          </w:p>
        </w:tc>
        <w:tc>
          <w:tcPr>
            <w:tcW w:w="87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变叶木</w:t>
            </w:r>
          </w:p>
        </w:tc>
        <w:tc>
          <w:tcPr>
            <w:tcW w:w="78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24</w:t>
            </w:r>
          </w:p>
        </w:tc>
        <w:tc>
          <w:tcPr>
            <w:tcW w:w="604"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94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bl>
    <w:p>
      <w:pPr>
        <w:spacing w:line="360" w:lineRule="auto"/>
        <w:jc w:val="left"/>
        <w:rPr>
          <w:rFonts w:ascii="仿宋_GB2312" w:hAnsi="仿宋_GB2312" w:eastAsia="仿宋_GB2312" w:cs="仿宋_GB2312"/>
          <w:b/>
          <w:bCs/>
          <w:sz w:val="24"/>
        </w:rPr>
      </w:pPr>
    </w:p>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7、地下负6、负8办公室</w:t>
      </w:r>
    </w:p>
    <w:tbl>
      <w:tblPr>
        <w:tblStyle w:val="14"/>
        <w:tblW w:w="10085" w:type="dxa"/>
        <w:jc w:val="center"/>
        <w:tblInd w:w="0" w:type="dxa"/>
        <w:tblLayout w:type="fixed"/>
        <w:tblCellMar>
          <w:top w:w="15" w:type="dxa"/>
          <w:left w:w="15" w:type="dxa"/>
          <w:bottom w:w="15" w:type="dxa"/>
          <w:right w:w="15" w:type="dxa"/>
        </w:tblCellMar>
      </w:tblPr>
      <w:tblGrid>
        <w:gridCol w:w="1585"/>
        <w:gridCol w:w="1559"/>
        <w:gridCol w:w="851"/>
        <w:gridCol w:w="992"/>
        <w:gridCol w:w="858"/>
        <w:gridCol w:w="1041"/>
        <w:gridCol w:w="1053"/>
        <w:gridCol w:w="1056"/>
        <w:gridCol w:w="1090"/>
      </w:tblGrid>
      <w:tr>
        <w:tblPrEx>
          <w:tblLayout w:type="fixed"/>
          <w:tblCellMar>
            <w:top w:w="15" w:type="dxa"/>
            <w:left w:w="15" w:type="dxa"/>
            <w:bottom w:w="15" w:type="dxa"/>
            <w:right w:w="15" w:type="dxa"/>
          </w:tblCellMar>
        </w:tblPrEx>
        <w:trPr>
          <w:trHeight w:val="615" w:hRule="atLeast"/>
          <w:jc w:val="center"/>
        </w:trPr>
        <w:tc>
          <w:tcPr>
            <w:tcW w:w="15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区域</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花名</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数量</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09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广播室</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单杆发财王</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restart"/>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金钱树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绿萝</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动能1C355</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金钱树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4</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6</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1.2</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8</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1C353</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发财树（单）</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1C352</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福禄桐</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1C345</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黑金钢</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心叶腾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金麒麟</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1C342</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（1号领导）</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水培发财树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文竹</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仙客来</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-6安检休息室</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心叶腾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金钱树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1C372</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黑金钢</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心叶腾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1A326</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六头龙血树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机电核心机房1F-A-319</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20</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color w:val="C00000"/>
                <w:sz w:val="24"/>
              </w:rPr>
              <w:t>六头龙血树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运行指挥中心1F-A-318</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万年青</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发财树（三株）</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富贵竹笼</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2.2</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158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85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5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90"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bl>
    <w:p>
      <w:pPr>
        <w:spacing w:line="360" w:lineRule="auto"/>
        <w:jc w:val="left"/>
        <w:rPr>
          <w:rFonts w:ascii="仿宋_GB2312" w:hAnsi="宋体" w:eastAsia="仿宋_GB2312"/>
          <w:b/>
        </w:rPr>
      </w:pPr>
    </w:p>
    <w:p>
      <w:pPr>
        <w:spacing w:line="360" w:lineRule="auto"/>
        <w:jc w:val="left"/>
        <w:rPr>
          <w:rFonts w:ascii="仿宋_GB2312" w:hAnsi="宋体" w:eastAsia="仿宋_GB2312"/>
          <w:b/>
        </w:rPr>
      </w:pPr>
    </w:p>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8、三楼内大厅、办公室</w:t>
      </w:r>
    </w:p>
    <w:tbl>
      <w:tblPr>
        <w:tblStyle w:val="14"/>
        <w:tblW w:w="9971" w:type="dxa"/>
        <w:jc w:val="center"/>
        <w:tblInd w:w="0" w:type="dxa"/>
        <w:tblLayout w:type="fixed"/>
        <w:tblCellMar>
          <w:top w:w="15" w:type="dxa"/>
          <w:left w:w="15" w:type="dxa"/>
          <w:bottom w:w="15" w:type="dxa"/>
          <w:right w:w="15" w:type="dxa"/>
        </w:tblCellMar>
      </w:tblPr>
      <w:tblGrid>
        <w:gridCol w:w="962"/>
        <w:gridCol w:w="1266"/>
        <w:gridCol w:w="1385"/>
        <w:gridCol w:w="885"/>
        <w:gridCol w:w="768"/>
        <w:gridCol w:w="775"/>
        <w:gridCol w:w="1030"/>
        <w:gridCol w:w="1060"/>
        <w:gridCol w:w="910"/>
        <w:gridCol w:w="930"/>
      </w:tblGrid>
      <w:tr>
        <w:tblPrEx>
          <w:tblLayout w:type="fixed"/>
          <w:tblCellMar>
            <w:top w:w="15" w:type="dxa"/>
            <w:left w:w="15" w:type="dxa"/>
            <w:bottom w:w="15" w:type="dxa"/>
            <w:right w:w="15" w:type="dxa"/>
          </w:tblCellMar>
        </w:tblPrEx>
        <w:trPr>
          <w:trHeight w:val="570" w:hRule="atLeast"/>
          <w:jc w:val="center"/>
        </w:trPr>
        <w:tc>
          <w:tcPr>
            <w:tcW w:w="2228"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区域</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花名</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数量</w:t>
            </w:r>
          </w:p>
        </w:tc>
        <w:tc>
          <w:tcPr>
            <w:tcW w:w="76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9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315" w:hRule="atLeast"/>
          <w:jc w:val="center"/>
        </w:trPr>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国</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内</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远</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机</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位</w:t>
            </w: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电梯口</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国王椰子</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2.4</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发财树三株</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窗口</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大叶伞</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2.0</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发财树三株</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柱子</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多叉幸福树</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墙体</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龙须</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办公室</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心叶腾</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3</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安检玻璃墙体</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翠竹</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1.7</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安检办公室3A245</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福禄桐</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安检办公室3A243</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发财树单</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东</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绿</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肺</w:t>
            </w: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安检休息室</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地服休息室</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鹅掌木</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金虎</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restart"/>
            <w:tcBorders>
              <w:left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三</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楼</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外</w:t>
            </w:r>
          </w:p>
        </w:tc>
        <w:tc>
          <w:tcPr>
            <w:tcW w:w="126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中央问询</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螺纹铁</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巴西美人</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君子兰</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行查办公室</w:t>
            </w: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平安树</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单杆绿宝</w:t>
            </w:r>
          </w:p>
        </w:tc>
        <w:tc>
          <w:tcPr>
            <w:tcW w:w="8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金钱树</w:t>
            </w:r>
          </w:p>
        </w:tc>
        <w:tc>
          <w:tcPr>
            <w:tcW w:w="885"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金钻</w:t>
            </w:r>
          </w:p>
        </w:tc>
        <w:tc>
          <w:tcPr>
            <w:tcW w:w="885" w:type="dxa"/>
            <w:tcBorders>
              <w:top w:val="single" w:color="auto"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68"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7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03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315" w:hRule="atLeast"/>
          <w:jc w:val="center"/>
        </w:trPr>
        <w:tc>
          <w:tcPr>
            <w:tcW w:w="962" w:type="dxa"/>
            <w:vMerge w:val="continue"/>
            <w:tcBorders>
              <w:left w:val="single" w:color="000000" w:sz="4" w:space="0"/>
              <w:bottom w:val="single" w:color="auto" w:sz="4" w:space="0"/>
              <w:right w:val="single" w:color="000000" w:sz="4" w:space="0"/>
            </w:tcBorders>
            <w:vAlign w:val="center"/>
          </w:tcPr>
          <w:p>
            <w:pPr>
              <w:spacing w:line="360" w:lineRule="auto"/>
              <w:ind w:firstLine="480" w:firstLineChars="200"/>
              <w:rPr>
                <w:rFonts w:ascii="仿宋_GB2312" w:hAnsi="仿宋_GB2312" w:eastAsia="仿宋_GB2312" w:cs="仿宋_GB2312"/>
                <w:sz w:val="24"/>
              </w:rPr>
            </w:pPr>
          </w:p>
        </w:tc>
        <w:tc>
          <w:tcPr>
            <w:tcW w:w="1266" w:type="dxa"/>
            <w:vMerge w:val="continue"/>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385"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绿萝</w:t>
            </w:r>
          </w:p>
        </w:tc>
        <w:tc>
          <w:tcPr>
            <w:tcW w:w="885"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68" w:type="dxa"/>
            <w:tcBorders>
              <w:top w:val="single" w:color="000000" w:sz="4" w:space="0"/>
              <w:left w:val="single" w:color="000000" w:sz="4" w:space="0"/>
              <w:bottom w:val="single" w:color="auto"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775"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030"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060"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0"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bl>
    <w:p>
      <w:pPr>
        <w:spacing w:line="360" w:lineRule="auto"/>
        <w:jc w:val="left"/>
        <w:rPr>
          <w:rFonts w:ascii="仿宋_GB2312" w:hAnsi="仿宋_GB2312" w:eastAsia="仿宋_GB2312" w:cs="仿宋_GB2312"/>
          <w:b/>
          <w:sz w:val="28"/>
          <w:szCs w:val="28"/>
        </w:rPr>
      </w:pPr>
    </w:p>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9、三层隔离区候机大厅玻璃墙体</w:t>
      </w:r>
    </w:p>
    <w:tbl>
      <w:tblPr>
        <w:tblStyle w:val="14"/>
        <w:tblW w:w="10612" w:type="dxa"/>
        <w:jc w:val="center"/>
        <w:tblInd w:w="-274" w:type="dxa"/>
        <w:tblLayout w:type="fixed"/>
        <w:tblCellMar>
          <w:top w:w="15" w:type="dxa"/>
          <w:left w:w="15" w:type="dxa"/>
          <w:bottom w:w="15" w:type="dxa"/>
          <w:right w:w="15" w:type="dxa"/>
        </w:tblCellMar>
      </w:tblPr>
      <w:tblGrid>
        <w:gridCol w:w="993"/>
        <w:gridCol w:w="992"/>
        <w:gridCol w:w="567"/>
        <w:gridCol w:w="1139"/>
        <w:gridCol w:w="987"/>
        <w:gridCol w:w="1701"/>
        <w:gridCol w:w="966"/>
        <w:gridCol w:w="1134"/>
        <w:gridCol w:w="1010"/>
        <w:gridCol w:w="1123"/>
      </w:tblGrid>
      <w:tr>
        <w:tblPrEx>
          <w:tblLayout w:type="fixed"/>
          <w:tblCellMar>
            <w:top w:w="15" w:type="dxa"/>
            <w:left w:w="15" w:type="dxa"/>
            <w:bottom w:w="15" w:type="dxa"/>
            <w:right w:w="15" w:type="dxa"/>
          </w:tblCellMar>
        </w:tblPrEx>
        <w:trPr>
          <w:trHeight w:val="690" w:hRule="atLeas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花卉容器</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花名</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数量</w:t>
            </w:r>
          </w:p>
        </w:tc>
        <w:tc>
          <w:tcPr>
            <w:tcW w:w="1139" w:type="dxa"/>
            <w:tcBorders>
              <w:top w:val="single" w:color="000000" w:sz="4" w:space="0"/>
              <w:left w:val="single" w:color="000000" w:sz="4" w:space="0"/>
              <w:bottom w:val="single" w:color="000000" w:sz="4" w:space="0"/>
              <w:right w:val="single" w:color="auto"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987" w:type="dxa"/>
            <w:tcBorders>
              <w:top w:val="single" w:color="000000" w:sz="4" w:space="0"/>
              <w:left w:val="single" w:color="auto"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备注</w:t>
            </w:r>
          </w:p>
        </w:tc>
        <w:tc>
          <w:tcPr>
            <w:tcW w:w="170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9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123"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465" w:hRule="atLeast"/>
          <w:jc w:val="center"/>
        </w:trPr>
        <w:tc>
          <w:tcPr>
            <w:tcW w:w="993"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大理石花箱</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富贵椰子</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1139" w:type="dxa"/>
            <w:tcBorders>
              <w:top w:val="single" w:color="000000" w:sz="4" w:space="0"/>
              <w:left w:val="single" w:color="000000" w:sz="4" w:space="0"/>
              <w:bottom w:val="single" w:color="000000" w:sz="4" w:space="0"/>
              <w:right w:val="single" w:color="auto"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987" w:type="dxa"/>
            <w:vMerge w:val="restart"/>
            <w:tcBorders>
              <w:top w:val="single" w:color="000000" w:sz="4" w:space="0"/>
              <w:left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每个花箱容器摆放花卉8株注</w:t>
            </w:r>
          </w:p>
        </w:tc>
        <w:tc>
          <w:tcPr>
            <w:tcW w:w="1701"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9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vMerge w:val="restart"/>
            <w:tcBorders>
              <w:top w:val="single" w:color="000000" w:sz="4" w:space="0"/>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993"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变叶木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1139" w:type="dxa"/>
            <w:tcBorders>
              <w:top w:val="single" w:color="000000" w:sz="4" w:space="0"/>
              <w:left w:val="single" w:color="000000" w:sz="4" w:space="0"/>
              <w:bottom w:val="single" w:color="000000" w:sz="4" w:space="0"/>
              <w:right w:val="single" w:color="auto"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987" w:type="dxa"/>
            <w:vMerge w:val="continue"/>
            <w:tcBorders>
              <w:left w:val="single" w:color="auto" w:sz="4" w:space="0"/>
              <w:right w:val="single" w:color="000000" w:sz="4" w:space="0"/>
            </w:tcBorders>
          </w:tcPr>
          <w:p>
            <w:pPr>
              <w:spacing w:line="360" w:lineRule="auto"/>
              <w:rPr>
                <w:rFonts w:ascii="仿宋_GB2312" w:hAnsi="仿宋_GB2312" w:eastAsia="仿宋_GB2312" w:cs="仿宋_GB2312"/>
                <w:sz w:val="24"/>
              </w:rPr>
            </w:pPr>
          </w:p>
        </w:tc>
        <w:tc>
          <w:tcPr>
            <w:tcW w:w="1701"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9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vMerge w:val="continue"/>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993"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1139" w:type="dxa"/>
            <w:tcBorders>
              <w:top w:val="single" w:color="000000" w:sz="4" w:space="0"/>
              <w:left w:val="single" w:color="000000" w:sz="4" w:space="0"/>
              <w:bottom w:val="single" w:color="000000" w:sz="4" w:space="0"/>
              <w:right w:val="single" w:color="auto"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987" w:type="dxa"/>
            <w:vMerge w:val="continue"/>
            <w:tcBorders>
              <w:left w:val="single" w:color="auto" w:sz="4" w:space="0"/>
              <w:right w:val="single" w:color="000000" w:sz="4" w:space="0"/>
            </w:tcBorders>
          </w:tcPr>
          <w:p>
            <w:pPr>
              <w:spacing w:line="360" w:lineRule="auto"/>
              <w:rPr>
                <w:rFonts w:ascii="仿宋_GB2312" w:hAnsi="仿宋_GB2312" w:eastAsia="仿宋_GB2312" w:cs="仿宋_GB2312"/>
                <w:sz w:val="24"/>
              </w:rPr>
            </w:pPr>
          </w:p>
        </w:tc>
        <w:tc>
          <w:tcPr>
            <w:tcW w:w="1701"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96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vMerge w:val="continue"/>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993" w:type="dxa"/>
            <w:vMerge w:val="continue"/>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大理石</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花箱</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定制尺寸：长高宽</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为160cm*65cm*45cm</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颜色：内为白色，外为棕红色</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材质：大理石及实木材等</w:t>
            </w:r>
          </w:p>
        </w:tc>
        <w:tc>
          <w:tcPr>
            <w:tcW w:w="3801" w:type="dxa"/>
            <w:gridSpan w:val="3"/>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drawing>
                <wp:anchor distT="0" distB="0" distL="114300" distR="114300" simplePos="0" relativeHeight="251675648" behindDoc="0" locked="0" layoutInCell="1" allowOverlap="1">
                  <wp:simplePos x="0" y="0"/>
                  <wp:positionH relativeFrom="page">
                    <wp:posOffset>70485</wp:posOffset>
                  </wp:positionH>
                  <wp:positionV relativeFrom="page">
                    <wp:posOffset>397510</wp:posOffset>
                  </wp:positionV>
                  <wp:extent cx="1947545" cy="1275715"/>
                  <wp:effectExtent l="19050" t="0" r="0" b="0"/>
                  <wp:wrapSquare wrapText="bothSides"/>
                  <wp:docPr id="57" name="图片 6" descr="49501369947084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 descr="495013699470840088"/>
                          <pic:cNvPicPr>
                            <a:picLocks noChangeAspect="1" noChangeArrowheads="1"/>
                          </pic:cNvPicPr>
                        </pic:nvPicPr>
                        <pic:blipFill>
                          <a:blip r:embed="rId7" cstate="print"/>
                          <a:srcRect/>
                          <a:stretch>
                            <a:fillRect/>
                          </a:stretch>
                        </pic:blipFill>
                        <pic:spPr>
                          <a:xfrm>
                            <a:off x="0" y="0"/>
                            <a:ext cx="1947545" cy="1275715"/>
                          </a:xfrm>
                          <a:prstGeom prst="rect">
                            <a:avLst/>
                          </a:prstGeom>
                          <a:noFill/>
                          <a:ln w="9525">
                            <a:noFill/>
                            <a:miter lim="800000"/>
                            <a:headEnd/>
                            <a:tailEnd/>
                          </a:ln>
                        </pic:spPr>
                      </pic:pic>
                    </a:graphicData>
                  </a:graphic>
                </wp:anchor>
              </w:drawing>
            </w:r>
            <w:r>
              <w:rPr>
                <w:rFonts w:hint="eastAsia" w:ascii="仿宋_GB2312" w:hAnsi="仿宋_GB2312" w:eastAsia="仿宋_GB2312" w:cs="仿宋_GB2312"/>
                <w:sz w:val="24"/>
              </w:rPr>
              <w:t>参照图片如下：</w:t>
            </w: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tcBorders>
              <w:left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65" w:hRule="atLeast"/>
          <w:jc w:val="center"/>
        </w:trPr>
        <w:tc>
          <w:tcPr>
            <w:tcW w:w="993" w:type="dxa"/>
            <w:tcBorders>
              <w:top w:val="single" w:color="auto"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三层隔离区候机大厅玻璃墙体安检通道后方</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夏威夷竹</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1.7</w:t>
            </w:r>
          </w:p>
        </w:tc>
        <w:tc>
          <w:tcPr>
            <w:tcW w:w="3801" w:type="dxa"/>
            <w:gridSpan w:val="3"/>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p>
        </w:tc>
        <w:tc>
          <w:tcPr>
            <w:tcW w:w="101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23" w:type="dxa"/>
            <w:tcBorders>
              <w:left w:val="single" w:color="000000" w:sz="4" w:space="0"/>
              <w:bottom w:val="single" w:color="000000" w:sz="4" w:space="0"/>
              <w:right w:val="single" w:color="000000" w:sz="4" w:space="0"/>
            </w:tcBorders>
            <w:vAlign w:val="center"/>
          </w:tcPr>
          <w:p>
            <w:pPr>
              <w:spacing w:line="360" w:lineRule="auto"/>
              <w:ind w:firstLine="194" w:firstLineChars="81"/>
              <w:rPr>
                <w:rFonts w:ascii="仿宋_GB2312" w:hAnsi="仿宋_GB2312" w:eastAsia="仿宋_GB2312" w:cs="仿宋_GB2312"/>
                <w:sz w:val="24"/>
              </w:rPr>
            </w:pPr>
          </w:p>
        </w:tc>
      </w:tr>
    </w:tbl>
    <w:p>
      <w:pPr>
        <w:spacing w:line="360" w:lineRule="auto"/>
        <w:jc w:val="left"/>
        <w:rPr>
          <w:rFonts w:ascii="仿宋_GB2312" w:hAnsi="宋体" w:eastAsia="仿宋_GB2312"/>
          <w:b/>
          <w:color w:val="C00000"/>
          <w:sz w:val="28"/>
        </w:rPr>
      </w:pPr>
    </w:p>
    <w:p>
      <w:pPr>
        <w:spacing w:line="360" w:lineRule="auto"/>
        <w:jc w:val="left"/>
        <w:rPr>
          <w:rFonts w:ascii="仿宋_GB2312" w:hAnsi="宋体" w:eastAsia="仿宋_GB2312"/>
          <w:b/>
          <w:color w:val="C00000"/>
          <w:sz w:val="28"/>
        </w:rPr>
      </w:pPr>
    </w:p>
    <w:p>
      <w:pPr>
        <w:spacing w:line="360" w:lineRule="auto"/>
        <w:jc w:val="left"/>
        <w:rPr>
          <w:rFonts w:ascii="仿宋_GB2312" w:hAnsi="宋体" w:eastAsia="仿宋_GB2312"/>
          <w:b/>
          <w:color w:val="C00000"/>
          <w:sz w:val="28"/>
        </w:rPr>
      </w:pPr>
    </w:p>
    <w:p>
      <w:pPr>
        <w:spacing w:line="360" w:lineRule="auto"/>
        <w:jc w:val="left"/>
        <w:rPr>
          <w:rFonts w:ascii="仿宋_GB2312" w:hAnsi="宋体" w:eastAsia="仿宋_GB2312"/>
          <w:b/>
          <w:color w:val="C00000"/>
          <w:sz w:val="28"/>
        </w:rPr>
      </w:pPr>
    </w:p>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10、国际区花卉</w:t>
      </w:r>
    </w:p>
    <w:tbl>
      <w:tblPr>
        <w:tblStyle w:val="14"/>
        <w:tblW w:w="9658" w:type="dxa"/>
        <w:jc w:val="center"/>
        <w:tblInd w:w="0" w:type="dxa"/>
        <w:tblLayout w:type="fixed"/>
        <w:tblCellMar>
          <w:top w:w="15" w:type="dxa"/>
          <w:left w:w="15" w:type="dxa"/>
          <w:bottom w:w="15" w:type="dxa"/>
          <w:right w:w="15" w:type="dxa"/>
        </w:tblCellMar>
      </w:tblPr>
      <w:tblGrid>
        <w:gridCol w:w="804"/>
        <w:gridCol w:w="850"/>
        <w:gridCol w:w="567"/>
        <w:gridCol w:w="709"/>
        <w:gridCol w:w="709"/>
        <w:gridCol w:w="1134"/>
        <w:gridCol w:w="1134"/>
        <w:gridCol w:w="1134"/>
        <w:gridCol w:w="1701"/>
        <w:gridCol w:w="916"/>
      </w:tblGrid>
      <w:tr>
        <w:tblPrEx>
          <w:tblLayout w:type="fixed"/>
          <w:tblCellMar>
            <w:top w:w="15" w:type="dxa"/>
            <w:left w:w="15" w:type="dxa"/>
            <w:bottom w:w="15" w:type="dxa"/>
            <w:right w:w="15" w:type="dxa"/>
          </w:tblCellMar>
        </w:tblPrEx>
        <w:trPr>
          <w:trHeight w:val="735"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区域</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花名</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数量</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高度（m</w:t>
            </w:r>
            <w:r>
              <w:rPr>
                <w:rFonts w:ascii="仿宋_GB2312" w:hAnsi="仿宋_GB2312" w:eastAsia="仿宋_GB2312" w:cs="仿宋_GB2312"/>
                <w:sz w:val="24"/>
              </w:rPr>
              <w:t>）</w:t>
            </w:r>
          </w:p>
        </w:tc>
        <w:tc>
          <w:tcPr>
            <w:tcW w:w="70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冠径(m)</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单价</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小计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（元/月）</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合计</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（12月）</w:t>
            </w:r>
          </w:p>
        </w:tc>
        <w:tc>
          <w:tcPr>
            <w:tcW w:w="1701"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备注</w:t>
            </w:r>
          </w:p>
        </w:tc>
        <w:tc>
          <w:tcPr>
            <w:tcW w:w="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年费用</w:t>
            </w:r>
          </w:p>
        </w:tc>
      </w:tr>
      <w:tr>
        <w:tblPrEx>
          <w:tblLayout w:type="fixed"/>
          <w:tblCellMar>
            <w:top w:w="15" w:type="dxa"/>
            <w:left w:w="15" w:type="dxa"/>
            <w:bottom w:w="15" w:type="dxa"/>
            <w:right w:w="15" w:type="dxa"/>
          </w:tblCellMar>
        </w:tblPrEx>
        <w:trPr>
          <w:trHeight w:val="660" w:hRule="atLeast"/>
          <w:jc w:val="center"/>
        </w:trPr>
        <w:tc>
          <w:tcPr>
            <w:tcW w:w="804"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二楼到达门口</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巴西木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vMerge w:val="restart"/>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招标方玻璃钢花盆共计2套（2个），用于该区域花卉栽种</w:t>
            </w:r>
          </w:p>
        </w:tc>
        <w:tc>
          <w:tcPr>
            <w:tcW w:w="916" w:type="dxa"/>
            <w:vMerge w:val="restart"/>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1817" w:hRule="atLeast"/>
          <w:jc w:val="center"/>
        </w:trPr>
        <w:tc>
          <w:tcPr>
            <w:tcW w:w="804"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绿萝</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鸿运当头</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9</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vMerge w:val="continue"/>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二楼过道</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万年青</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非洲茉莉</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变叶木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三头龙血树</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绿宝</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0.8</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二楼门厅</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也门铁</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金边吊兰</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二楼海关</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平安树</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二楼行李提取</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凤尾竹</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二楼门厅</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也门铁</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金边吊兰</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0.35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到达口夹层</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非洲茉莉</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软叶刺葵</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三楼国际出发门口</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巴西木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投标方提供玻璃钢花盆共计2套（2个），用于该区域花卉栽种</w:t>
            </w: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凤梨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0.6</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bottom w:val="single" w:color="auto"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三楼大厅</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发财树</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20" w:hRule="atLeast"/>
          <w:jc w:val="center"/>
        </w:trPr>
        <w:tc>
          <w:tcPr>
            <w:tcW w:w="804"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非洲茉莉（大）</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20" w:hRule="atLeast"/>
          <w:jc w:val="center"/>
        </w:trPr>
        <w:tc>
          <w:tcPr>
            <w:tcW w:w="804" w:type="dxa"/>
            <w:vMerge w:val="continue"/>
            <w:tcBorders>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鹅掌木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1.7</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0.8</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三楼登机口</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幸福树</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三楼登机口花坛</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散尾葵</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2.4</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桃花树</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2.8</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鸭脚木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1.6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0.8</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万年青</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30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84"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鸿运当头</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84"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红掌</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20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0.55</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84"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变叶木</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60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0.35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84"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袖珍椰子</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70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0.45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0.6</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Layout w:type="fixed"/>
          <w:tblCellMar>
            <w:top w:w="15" w:type="dxa"/>
            <w:left w:w="15" w:type="dxa"/>
            <w:bottom w:w="15" w:type="dxa"/>
            <w:right w:w="15" w:type="dxa"/>
          </w:tblCellMar>
        </w:tblPrEx>
        <w:trPr>
          <w:trHeight w:val="495" w:hRule="atLeast"/>
          <w:jc w:val="center"/>
        </w:trPr>
        <w:tc>
          <w:tcPr>
            <w:tcW w:w="8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绿萝</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80</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0.25</w:t>
            </w:r>
          </w:p>
        </w:tc>
        <w:tc>
          <w:tcPr>
            <w:tcW w:w="709" w:type="dxa"/>
            <w:tcBorders>
              <w:top w:val="single" w:color="000000" w:sz="4" w:space="0"/>
              <w:left w:val="single" w:color="000000" w:sz="4" w:space="0"/>
              <w:bottom w:val="single" w:color="000000" w:sz="4" w:space="0"/>
              <w:right w:val="single" w:color="000000" w:sz="4" w:space="0"/>
            </w:tcBorders>
          </w:tcPr>
          <w:p>
            <w:pPr>
              <w:spacing w:line="360" w:lineRule="auto"/>
              <w:rPr>
                <w:rFonts w:ascii="仿宋_GB2312" w:hAnsi="仿宋_GB2312" w:eastAsia="仿宋_GB2312" w:cs="仿宋_GB2312"/>
                <w:color w:val="C00000"/>
                <w:sz w:val="24"/>
              </w:rPr>
            </w:pPr>
            <w:r>
              <w:rPr>
                <w:rFonts w:hint="eastAsia" w:ascii="仿宋_GB2312" w:hAnsi="仿宋_GB2312" w:eastAsia="仿宋_GB2312" w:cs="仿宋_GB2312"/>
                <w:color w:val="C00000"/>
                <w:sz w:val="24"/>
              </w:rPr>
              <w:t>0.2</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C00000"/>
                <w:sz w:val="24"/>
              </w:rPr>
            </w:pPr>
          </w:p>
        </w:tc>
        <w:tc>
          <w:tcPr>
            <w:tcW w:w="1701" w:type="dxa"/>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c>
          <w:tcPr>
            <w:tcW w:w="916" w:type="dxa"/>
            <w:vMerge w:val="continue"/>
            <w:tcBorders>
              <w:left w:val="single" w:color="000000" w:sz="4" w:space="0"/>
              <w:right w:val="single" w:color="000000" w:sz="4" w:space="0"/>
            </w:tcBorders>
            <w:vAlign w:val="center"/>
          </w:tcPr>
          <w:p>
            <w:pPr>
              <w:spacing w:line="360" w:lineRule="auto"/>
              <w:rPr>
                <w:rFonts w:ascii="仿宋_GB2312" w:hAnsi="仿宋_GB2312" w:eastAsia="仿宋_GB2312" w:cs="仿宋_GB2312"/>
                <w:sz w:val="24"/>
              </w:rPr>
            </w:pP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Before w:val="8"/>
          <w:wBefore w:w="7041" w:type="dxa"/>
          <w:trHeight w:val="100" w:hRule="atLeast"/>
          <w:jc w:val="center"/>
        </w:trPr>
        <w:tc>
          <w:tcPr>
            <w:tcW w:w="2617" w:type="dxa"/>
            <w:gridSpan w:val="2"/>
          </w:tcPr>
          <w:p>
            <w:pPr>
              <w:spacing w:line="360" w:lineRule="auto"/>
              <w:jc w:val="left"/>
              <w:rPr>
                <w:rFonts w:ascii="仿宋_GB2312" w:hAnsi="宋体" w:eastAsia="仿宋_GB2312"/>
                <w:b/>
              </w:rPr>
            </w:pPr>
          </w:p>
        </w:tc>
      </w:tr>
    </w:tbl>
    <w:p>
      <w:pPr>
        <w:spacing w:line="360" w:lineRule="auto"/>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11、航站楼三层出发大厅花坛</w:t>
      </w:r>
    </w:p>
    <w:tbl>
      <w:tblPr>
        <w:tblStyle w:val="14"/>
        <w:tblW w:w="8521" w:type="dxa"/>
        <w:jc w:val="center"/>
        <w:tblInd w:w="-662" w:type="dxa"/>
        <w:tblLayout w:type="fixed"/>
        <w:tblCellMar>
          <w:top w:w="15" w:type="dxa"/>
          <w:left w:w="15" w:type="dxa"/>
          <w:bottom w:w="15" w:type="dxa"/>
          <w:right w:w="15" w:type="dxa"/>
        </w:tblCellMar>
      </w:tblPr>
      <w:tblGrid>
        <w:gridCol w:w="2299"/>
        <w:gridCol w:w="748"/>
        <w:gridCol w:w="829"/>
        <w:gridCol w:w="829"/>
        <w:gridCol w:w="829"/>
        <w:gridCol w:w="8"/>
        <w:gridCol w:w="931"/>
        <w:gridCol w:w="1007"/>
        <w:gridCol w:w="1041"/>
      </w:tblGrid>
      <w:tr>
        <w:tblPrEx>
          <w:tblLayout w:type="fixed"/>
          <w:tblCellMar>
            <w:top w:w="15" w:type="dxa"/>
            <w:left w:w="15" w:type="dxa"/>
            <w:bottom w:w="15" w:type="dxa"/>
            <w:right w:w="15" w:type="dxa"/>
          </w:tblCellMar>
        </w:tblPrEx>
        <w:trPr>
          <w:trHeight w:val="585" w:hRule="atLeast"/>
          <w:jc w:val="center"/>
        </w:trPr>
        <w:tc>
          <w:tcPr>
            <w:tcW w:w="2299"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花 名</w:t>
            </w:r>
          </w:p>
        </w:tc>
        <w:tc>
          <w:tcPr>
            <w:tcW w:w="748"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数量</w:t>
            </w:r>
          </w:p>
        </w:tc>
        <w:tc>
          <w:tcPr>
            <w:tcW w:w="829" w:type="dxa"/>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高度（m</w:t>
            </w:r>
            <w:r>
              <w:rPr>
                <w:rFonts w:ascii="仿宋_GB2312" w:hAnsi="仿宋_GB2312" w:eastAsia="仿宋_GB2312" w:cs="仿宋_GB2312"/>
                <w:color w:val="FF0000"/>
                <w:sz w:val="24"/>
              </w:rPr>
              <w:t>）</w:t>
            </w:r>
          </w:p>
        </w:tc>
        <w:tc>
          <w:tcPr>
            <w:tcW w:w="829" w:type="dxa"/>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冠径(m)</w:t>
            </w:r>
          </w:p>
        </w:tc>
        <w:tc>
          <w:tcPr>
            <w:tcW w:w="829" w:type="dxa"/>
            <w:tcBorders>
              <w:top w:val="single" w:color="000000" w:sz="4" w:space="0"/>
              <w:left w:val="single" w:color="000000" w:sz="4" w:space="0"/>
              <w:right w:val="single" w:color="000000" w:sz="4" w:space="0"/>
            </w:tcBorders>
            <w:vAlign w:val="center"/>
          </w:tcPr>
          <w:p>
            <w:pPr>
              <w:spacing w:line="360" w:lineRule="auto"/>
              <w:ind w:left="2"/>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单价</w:t>
            </w:r>
            <w:r>
              <w:rPr>
                <w:rFonts w:hint="eastAsia" w:ascii="仿宋_GB2312" w:hAnsi="仿宋_GB2312" w:eastAsia="仿宋_GB2312" w:cs="仿宋_GB2312"/>
                <w:color w:val="FF0000"/>
                <w:sz w:val="24"/>
              </w:rPr>
              <w:br w:type="textWrapping"/>
            </w:r>
            <w:r>
              <w:rPr>
                <w:rFonts w:hint="eastAsia" w:ascii="仿宋_GB2312" w:hAnsi="仿宋_GB2312" w:eastAsia="仿宋_GB2312" w:cs="仿宋_GB2312"/>
                <w:color w:val="FF0000"/>
                <w:sz w:val="24"/>
              </w:rPr>
              <w:t>（元/月）</w:t>
            </w:r>
          </w:p>
        </w:tc>
        <w:tc>
          <w:tcPr>
            <w:tcW w:w="939" w:type="dxa"/>
            <w:gridSpan w:val="2"/>
            <w:tcBorders>
              <w:top w:val="single" w:color="000000" w:sz="4" w:space="0"/>
              <w:left w:val="single" w:color="000000" w:sz="4" w:space="0"/>
              <w:right w:val="single" w:color="000000" w:sz="4" w:space="0"/>
            </w:tcBorders>
            <w:vAlign w:val="center"/>
          </w:tcPr>
          <w:p>
            <w:pPr>
              <w:spacing w:line="360" w:lineRule="auto"/>
              <w:ind w:left="41" w:hanging="41" w:hangingChars="17"/>
              <w:jc w:val="center"/>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小计</w:t>
            </w:r>
            <w:r>
              <w:rPr>
                <w:rFonts w:hint="eastAsia" w:ascii="仿宋_GB2312" w:hAnsi="仿宋_GB2312" w:eastAsia="仿宋_GB2312" w:cs="仿宋_GB2312"/>
                <w:color w:val="FF0000"/>
                <w:sz w:val="24"/>
              </w:rPr>
              <w:br w:type="textWrapping"/>
            </w:r>
            <w:r>
              <w:rPr>
                <w:rFonts w:hint="eastAsia" w:ascii="仿宋_GB2312" w:hAnsi="仿宋_GB2312" w:eastAsia="仿宋_GB2312" w:cs="仿宋_GB2312"/>
                <w:color w:val="FF0000"/>
                <w:sz w:val="24"/>
              </w:rPr>
              <w:t>（元/月）</w:t>
            </w:r>
          </w:p>
        </w:tc>
        <w:tc>
          <w:tcPr>
            <w:tcW w:w="1007"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合计</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小计(花坛/摆放月份)</w:t>
            </w: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腊梅盆景</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41" w:hanging="41" w:hangingChars="17"/>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棕竹</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41" w:hanging="41" w:hangingChars="17"/>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龙血树</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多叉发财树</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1.7</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红叶朱焦</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粉掌</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32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红掌</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斑马万年青</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56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苏铁</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黄金宝玉</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70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0.7</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0.55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如意</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变叶木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巴西美人</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绿萝</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120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0.2</w:t>
            </w:r>
          </w:p>
        </w:tc>
        <w:tc>
          <w:tcPr>
            <w:tcW w:w="829" w:type="dxa"/>
            <w:tcBorders>
              <w:top w:val="single" w:color="000000" w:sz="4" w:space="0"/>
              <w:left w:val="single" w:color="000000" w:sz="4" w:space="0"/>
              <w:bottom w:val="single" w:color="auto"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0.25</w:t>
            </w:r>
          </w:p>
        </w:tc>
        <w:tc>
          <w:tcPr>
            <w:tcW w:w="829" w:type="dxa"/>
            <w:tcBorders>
              <w:top w:val="single" w:color="000000" w:sz="4" w:space="0"/>
              <w:left w:val="single" w:color="000000" w:sz="4" w:space="0"/>
              <w:bottom w:val="single" w:color="auto" w:sz="4" w:space="0"/>
              <w:right w:val="single" w:color="auto"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auto" w:sz="4" w:space="0"/>
              <w:bottom w:val="single" w:color="auto"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vMerge w:val="restart"/>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工艺花盆</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0.25</w:t>
            </w:r>
          </w:p>
        </w:tc>
        <w:tc>
          <w:tcPr>
            <w:tcW w:w="837" w:type="dxa"/>
            <w:gridSpan w:val="2"/>
            <w:tcBorders>
              <w:top w:val="single" w:color="000000" w:sz="4" w:space="0"/>
              <w:left w:val="single" w:color="000000" w:sz="4" w:space="0"/>
              <w:bottom w:val="single" w:color="auto" w:sz="4" w:space="0"/>
              <w:right w:val="single" w:color="auto"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1" w:type="dxa"/>
            <w:tcBorders>
              <w:top w:val="single" w:color="000000" w:sz="4" w:space="0"/>
              <w:left w:val="single" w:color="auto" w:sz="4" w:space="0"/>
              <w:bottom w:val="single" w:color="auto"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vMerge w:val="continue"/>
            <w:tcBorders>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0.45</w:t>
            </w:r>
          </w:p>
        </w:tc>
        <w:tc>
          <w:tcPr>
            <w:tcW w:w="837" w:type="dxa"/>
            <w:gridSpan w:val="2"/>
            <w:tcBorders>
              <w:top w:val="single" w:color="auto" w:sz="4" w:space="0"/>
              <w:left w:val="single" w:color="000000" w:sz="4" w:space="0"/>
              <w:bottom w:val="single" w:color="auto" w:sz="4" w:space="0"/>
              <w:right w:val="single" w:color="auto"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1" w:type="dxa"/>
            <w:tcBorders>
              <w:top w:val="single" w:color="auto" w:sz="4" w:space="0"/>
              <w:left w:val="single" w:color="auto" w:sz="4" w:space="0"/>
              <w:bottom w:val="single" w:color="auto"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vMerge w:val="continue"/>
            <w:tcBorders>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0.6</w:t>
            </w:r>
          </w:p>
        </w:tc>
        <w:tc>
          <w:tcPr>
            <w:tcW w:w="837" w:type="dxa"/>
            <w:gridSpan w:val="2"/>
            <w:tcBorders>
              <w:top w:val="single" w:color="auto" w:sz="4" w:space="0"/>
              <w:left w:val="single" w:color="000000" w:sz="4" w:space="0"/>
              <w:bottom w:val="single" w:color="000000" w:sz="4" w:space="0"/>
              <w:right w:val="single" w:color="auto"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1" w:type="dxa"/>
            <w:tcBorders>
              <w:top w:val="single" w:color="auto" w:sz="4" w:space="0"/>
              <w:left w:val="single" w:color="auto"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春羽</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r>
        <w:tblPrEx>
          <w:tblLayout w:type="fixed"/>
          <w:tblCellMar>
            <w:top w:w="15" w:type="dxa"/>
            <w:left w:w="15" w:type="dxa"/>
            <w:bottom w:w="15" w:type="dxa"/>
            <w:right w:w="15" w:type="dxa"/>
          </w:tblCellMar>
        </w:tblPrEx>
        <w:trPr>
          <w:trHeight w:val="285" w:hRule="atLeast"/>
          <w:jc w:val="center"/>
        </w:trPr>
        <w:tc>
          <w:tcPr>
            <w:tcW w:w="229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挡片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r>
              <w:rPr>
                <w:rFonts w:hint="eastAsia" w:ascii="仿宋_GB2312" w:hAnsi="仿宋_GB2312" w:eastAsia="仿宋_GB2312" w:cs="仿宋_GB2312"/>
                <w:color w:val="FF0000"/>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93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FF0000"/>
                <w:sz w:val="24"/>
              </w:rPr>
            </w:pPr>
          </w:p>
        </w:tc>
      </w:tr>
    </w:tbl>
    <w:p>
      <w:pPr>
        <w:spacing w:line="360" w:lineRule="auto"/>
        <w:jc w:val="left"/>
        <w:rPr>
          <w:rFonts w:ascii="仿宋_GB2312" w:hAnsi="宋体" w:eastAsia="仿宋_GB2312"/>
          <w:b/>
        </w:rPr>
      </w:pPr>
      <w:r>
        <w:rPr>
          <w:rFonts w:hint="eastAsia" w:ascii="仿宋_GB2312" w:hAnsi="宋体" w:eastAsia="仿宋_GB2312"/>
          <w:b/>
        </w:rPr>
        <w:t>花坛造型及组合工艺花盆如下：</w:t>
      </w:r>
    </w:p>
    <w:p>
      <w:pPr>
        <w:spacing w:line="360" w:lineRule="auto"/>
        <w:jc w:val="left"/>
        <w:rPr>
          <w:rFonts w:ascii="仿宋_GB2312" w:hAnsi="宋体" w:eastAsia="仿宋_GB2312"/>
          <w:b/>
        </w:rPr>
      </w:pPr>
      <w:r>
        <w:rPr>
          <w:rFonts w:ascii="仿宋_GB2312" w:hAnsi="宋体" w:eastAsia="仿宋_GB2312"/>
          <w:b/>
        </w:rPr>
        <w:drawing>
          <wp:inline distT="0" distB="0" distL="0" distR="0">
            <wp:extent cx="4392930" cy="3312160"/>
            <wp:effectExtent l="19050" t="0" r="7089" b="0"/>
            <wp:docPr id="21" name="图片 7" descr="C:\Users\Administrator\Desktop\15512477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descr="C:\Users\Administrator\Desktop\1551247736(1).jpg"/>
                    <pic:cNvPicPr>
                      <a:picLocks noChangeAspect="1" noChangeArrowheads="1"/>
                    </pic:cNvPicPr>
                  </pic:nvPicPr>
                  <pic:blipFill>
                    <a:blip r:embed="rId10" cstate="print"/>
                    <a:srcRect/>
                    <a:stretch>
                      <a:fillRect/>
                    </a:stretch>
                  </pic:blipFill>
                  <pic:spPr>
                    <a:xfrm>
                      <a:off x="0" y="0"/>
                      <a:ext cx="4401346" cy="3318629"/>
                    </a:xfrm>
                    <a:prstGeom prst="rect">
                      <a:avLst/>
                    </a:prstGeom>
                    <a:noFill/>
                    <a:ln w="9525">
                      <a:noFill/>
                      <a:miter lim="800000"/>
                      <a:headEnd/>
                      <a:tailEnd/>
                    </a:ln>
                  </pic:spPr>
                </pic:pic>
              </a:graphicData>
            </a:graphic>
          </wp:inline>
        </w:drawing>
      </w:r>
    </w:p>
    <w:p>
      <w:pPr>
        <w:spacing w:line="360" w:lineRule="auto"/>
        <w:jc w:val="left"/>
        <w:rPr>
          <w:rFonts w:ascii="仿宋_GB2312" w:hAnsi="宋体" w:eastAsia="仿宋_GB2312"/>
          <w:b/>
        </w:rPr>
      </w:pPr>
    </w:p>
    <w:p>
      <w:pPr>
        <w:spacing w:line="360" w:lineRule="auto"/>
        <w:rPr>
          <w:rFonts w:ascii="仿宋_GB2312" w:hAnsi="仿宋_GB2312" w:eastAsia="仿宋_GB2312" w:cs="仿宋_GB2312"/>
          <w:sz w:val="24"/>
        </w:rPr>
      </w:pPr>
      <w:r>
        <w:rPr>
          <w:rFonts w:hint="eastAsia" w:ascii="仿宋_GB2312" w:hAnsi="仿宋_GB2312" w:eastAsia="仿宋_GB2312" w:cs="仿宋_GB2312"/>
          <w:b/>
          <w:sz w:val="28"/>
          <w:szCs w:val="28"/>
        </w:rPr>
        <w:t>12、航站楼隔离区内花坛</w:t>
      </w:r>
    </w:p>
    <w:tbl>
      <w:tblPr>
        <w:tblStyle w:val="14"/>
        <w:tblW w:w="9326" w:type="dxa"/>
        <w:jc w:val="center"/>
        <w:tblInd w:w="0" w:type="dxa"/>
        <w:tblLayout w:type="fixed"/>
        <w:tblCellMar>
          <w:top w:w="15" w:type="dxa"/>
          <w:left w:w="15" w:type="dxa"/>
          <w:bottom w:w="15" w:type="dxa"/>
          <w:right w:w="15" w:type="dxa"/>
        </w:tblCellMar>
      </w:tblPr>
      <w:tblGrid>
        <w:gridCol w:w="538"/>
        <w:gridCol w:w="1637"/>
        <w:gridCol w:w="748"/>
        <w:gridCol w:w="829"/>
        <w:gridCol w:w="829"/>
        <w:gridCol w:w="829"/>
        <w:gridCol w:w="985"/>
        <w:gridCol w:w="929"/>
        <w:gridCol w:w="961"/>
        <w:gridCol w:w="1041"/>
      </w:tblGrid>
      <w:tr>
        <w:tblPrEx>
          <w:tblLayout w:type="fixed"/>
          <w:tblCellMar>
            <w:top w:w="15" w:type="dxa"/>
            <w:left w:w="15" w:type="dxa"/>
            <w:bottom w:w="15" w:type="dxa"/>
            <w:right w:w="15" w:type="dxa"/>
          </w:tblCellMar>
        </w:tblPrEx>
        <w:trPr>
          <w:trHeight w:val="585" w:hRule="atLeast"/>
          <w:jc w:val="center"/>
        </w:trPr>
        <w:tc>
          <w:tcPr>
            <w:tcW w:w="538"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名称</w:t>
            </w:r>
          </w:p>
        </w:tc>
        <w:tc>
          <w:tcPr>
            <w:tcW w:w="1637"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花 名</w:t>
            </w:r>
          </w:p>
        </w:tc>
        <w:tc>
          <w:tcPr>
            <w:tcW w:w="748"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数量</w:t>
            </w:r>
          </w:p>
        </w:tc>
        <w:tc>
          <w:tcPr>
            <w:tcW w:w="829" w:type="dxa"/>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高度（m</w:t>
            </w:r>
            <w:r>
              <w:rPr>
                <w:rFonts w:ascii="仿宋_GB2312" w:hAnsi="仿宋_GB2312" w:eastAsia="仿宋_GB2312" w:cs="仿宋_GB2312"/>
                <w:color w:val="000000" w:themeColor="text1"/>
                <w:sz w:val="24"/>
              </w:rPr>
              <w:t>）</w:t>
            </w:r>
          </w:p>
        </w:tc>
        <w:tc>
          <w:tcPr>
            <w:tcW w:w="829" w:type="dxa"/>
            <w:tcBorders>
              <w:top w:val="single" w:color="000000" w:sz="4" w:space="0"/>
              <w:left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冠径(m)</w:t>
            </w:r>
          </w:p>
        </w:tc>
        <w:tc>
          <w:tcPr>
            <w:tcW w:w="829" w:type="dxa"/>
            <w:tcBorders>
              <w:top w:val="single" w:color="000000" w:sz="4" w:space="0"/>
              <w:left w:val="single" w:color="000000" w:sz="4" w:space="0"/>
              <w:right w:val="single" w:color="000000" w:sz="4" w:space="0"/>
            </w:tcBorders>
            <w:vAlign w:val="center"/>
          </w:tcPr>
          <w:p>
            <w:pPr>
              <w:spacing w:line="360" w:lineRule="auto"/>
              <w:ind w:left="2"/>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单价</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（元/月）</w:t>
            </w:r>
          </w:p>
        </w:tc>
        <w:tc>
          <w:tcPr>
            <w:tcW w:w="985" w:type="dxa"/>
            <w:tcBorders>
              <w:top w:val="single" w:color="000000" w:sz="4" w:space="0"/>
              <w:left w:val="single" w:color="000000" w:sz="4" w:space="0"/>
              <w:right w:val="single" w:color="000000" w:sz="4" w:space="0"/>
            </w:tcBorders>
            <w:vAlign w:val="center"/>
          </w:tcPr>
          <w:p>
            <w:pPr>
              <w:spacing w:line="360" w:lineRule="auto"/>
              <w:ind w:left="41" w:hanging="41" w:hangingChars="17"/>
              <w:jc w:val="center"/>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小计</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（元/月）</w:t>
            </w:r>
          </w:p>
        </w:tc>
        <w:tc>
          <w:tcPr>
            <w:tcW w:w="929"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摆放时间</w:t>
            </w:r>
          </w:p>
        </w:tc>
        <w:tc>
          <w:tcPr>
            <w:tcW w:w="961"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合计</w:t>
            </w:r>
          </w:p>
        </w:tc>
        <w:tc>
          <w:tcPr>
            <w:tcW w:w="1041"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小计(花坛/摆放月份)</w:t>
            </w: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绿</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色</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森</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林</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散尾葵</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41" w:hanging="41" w:hangingChars="17"/>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1至2月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鸭脚木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万年青</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鸿运当头</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春雨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归背竹</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档片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五</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彩</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缤</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纷</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苏铁</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3至4月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也门铁</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绿钻</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变叶木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22</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巴西美人</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绿萝</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挡片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节</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日</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之</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美</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苏铁</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41</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非洲茉莉（大）</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28</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非洲茉莉（中）</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17</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红掌</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鸭脚木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一品红</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90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挡片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层</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层</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叠</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叠</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大叶伞</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6至9月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万年青</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杜鹃</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0.35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1.1</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万年青</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杜鹃</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0.35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1.1</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绿萝</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160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鸭脚木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档片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节</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日</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之</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美</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苏铁</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42</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非洲茉莉（大）</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1.6</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28</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鸿运当头</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非洲茉莉（中）</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17</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红掌</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鸭脚木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一品红</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90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挡片</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草</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原</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风</w:t>
            </w:r>
            <w:r>
              <w:rPr>
                <w:rFonts w:hint="eastAsia" w:ascii="仿宋_GB2312" w:hAnsi="仿宋_GB2312" w:eastAsia="仿宋_GB2312" w:cs="仿宋_GB2312"/>
                <w:color w:val="000000" w:themeColor="text1"/>
                <w:sz w:val="24"/>
              </w:rPr>
              <w:br w:type="textWrapping"/>
            </w:r>
            <w:r>
              <w:rPr>
                <w:rFonts w:hint="eastAsia" w:ascii="仿宋_GB2312" w:hAnsi="仿宋_GB2312" w:eastAsia="仿宋_GB2312" w:cs="仿宋_GB2312"/>
                <w:color w:val="000000" w:themeColor="text1"/>
                <w:sz w:val="24"/>
              </w:rPr>
              <w:t>情</w:t>
            </w: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国王椰子</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39</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11至12月</w:t>
            </w: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鸭脚木</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1.8</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万年青</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0.65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杜鹃</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100</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0.35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1.1</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巴西美人</w:t>
            </w:r>
          </w:p>
        </w:tc>
        <w:tc>
          <w:tcPr>
            <w:tcW w:w="748"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0.45</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0.4</w:t>
            </w:r>
          </w:p>
        </w:tc>
        <w:tc>
          <w:tcPr>
            <w:tcW w:w="829"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6</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1637"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挡片</w:t>
            </w:r>
          </w:p>
        </w:tc>
        <w:tc>
          <w:tcPr>
            <w:tcW w:w="748"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56</w:t>
            </w:r>
          </w:p>
        </w:tc>
        <w:tc>
          <w:tcPr>
            <w:tcW w:w="829"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0.25</w:t>
            </w:r>
          </w:p>
        </w:tc>
        <w:tc>
          <w:tcPr>
            <w:tcW w:w="829"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0.75</w:t>
            </w:r>
          </w:p>
        </w:tc>
        <w:tc>
          <w:tcPr>
            <w:tcW w:w="829" w:type="dxa"/>
            <w:tcBorders>
              <w:top w:val="single" w:color="000000" w:sz="4" w:space="0"/>
              <w:left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0.5</w:t>
            </w:r>
          </w:p>
        </w:tc>
        <w:tc>
          <w:tcPr>
            <w:tcW w:w="98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92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c>
          <w:tcPr>
            <w:tcW w:w="961"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仿宋_GB2312" w:hAnsi="仿宋_GB2312" w:eastAsia="仿宋_GB2312" w:cs="仿宋_GB2312"/>
                <w:color w:val="000000" w:themeColor="text1"/>
                <w:sz w:val="24"/>
              </w:rPr>
            </w:pP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p>
        </w:tc>
      </w:tr>
      <w:tr>
        <w:tblPrEx>
          <w:tblLayout w:type="fixed"/>
          <w:tblCellMar>
            <w:top w:w="15" w:type="dxa"/>
            <w:left w:w="15" w:type="dxa"/>
            <w:bottom w:w="15" w:type="dxa"/>
            <w:right w:w="15" w:type="dxa"/>
          </w:tblCellMar>
        </w:tblPrEx>
        <w:trPr>
          <w:trHeight w:val="285" w:hRule="atLeast"/>
          <w:jc w:val="center"/>
        </w:trPr>
        <w:tc>
          <w:tcPr>
            <w:tcW w:w="2175" w:type="dxa"/>
            <w:gridSpan w:val="2"/>
            <w:tcBorders>
              <w:top w:val="single" w:color="000000" w:sz="4" w:space="0"/>
              <w:left w:val="single" w:color="000000" w:sz="4" w:space="0"/>
              <w:bottom w:val="single" w:color="000000" w:sz="4" w:space="0"/>
              <w:right w:val="single" w:color="auto" w:sz="4" w:space="0"/>
            </w:tcBorders>
            <w:vAlign w:val="center"/>
          </w:tcPr>
          <w:p>
            <w:pPr>
              <w:spacing w:line="360" w:lineRule="auto"/>
              <w:ind w:left="180" w:hanging="180" w:hangingChars="75"/>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总计费用</w:t>
            </w:r>
          </w:p>
        </w:tc>
        <w:tc>
          <w:tcPr>
            <w:tcW w:w="7151" w:type="dxa"/>
            <w:gridSpan w:val="8"/>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hAnsi="仿宋_GB2312" w:eastAsia="仿宋_GB2312" w:cs="仿宋_GB2312"/>
                <w:color w:val="000000" w:themeColor="text1"/>
                <w:sz w:val="24"/>
              </w:rPr>
            </w:pPr>
          </w:p>
        </w:tc>
      </w:tr>
    </w:tbl>
    <w:p>
      <w:pPr>
        <w:spacing w:line="360" w:lineRule="auto"/>
        <w:outlineLvl w:val="1"/>
        <w:rPr>
          <w:rFonts w:ascii="仿宋" w:hAnsi="仿宋" w:eastAsia="仿宋" w:cs="Cambria"/>
          <w:b/>
          <w:bCs/>
          <w:color w:val="FF0000"/>
          <w:kern w:val="0"/>
          <w:sz w:val="28"/>
          <w:szCs w:val="32"/>
        </w:rPr>
      </w:pPr>
      <w:bookmarkStart w:id="10" w:name="_Toc2950390"/>
      <w:r>
        <w:rPr>
          <w:rFonts w:hint="eastAsia" w:ascii="仿宋" w:hAnsi="仿宋" w:eastAsia="仿宋" w:cs="Cambria"/>
          <w:b/>
          <w:bCs/>
          <w:color w:val="FF0000"/>
          <w:kern w:val="0"/>
          <w:sz w:val="28"/>
          <w:szCs w:val="32"/>
        </w:rPr>
        <w:t>备注：以上区域绿植花盆除招标方提供的部分花盆外，其他均由投标方提供。</w:t>
      </w:r>
    </w:p>
    <w:p>
      <w:pPr>
        <w:spacing w:line="360" w:lineRule="auto"/>
        <w:outlineLvl w:val="1"/>
        <w:rPr>
          <w:rFonts w:ascii="仿宋" w:hAnsi="仿宋" w:eastAsia="仿宋" w:cs="Cambria"/>
          <w:b/>
          <w:bCs/>
          <w:kern w:val="0"/>
          <w:sz w:val="28"/>
          <w:szCs w:val="32"/>
        </w:rPr>
      </w:pPr>
      <w:r>
        <w:rPr>
          <w:rFonts w:hint="eastAsia" w:ascii="仿宋" w:hAnsi="仿宋" w:eastAsia="仿宋" w:cs="Cambria"/>
          <w:b/>
          <w:bCs/>
          <w:kern w:val="0"/>
          <w:sz w:val="28"/>
          <w:szCs w:val="32"/>
        </w:rPr>
        <w:t>三、重新补种数量及标准</w:t>
      </w:r>
      <w:bookmarkEnd w:id="10"/>
    </w:p>
    <w:p>
      <w:pPr>
        <w:spacing w:line="360" w:lineRule="auto"/>
        <w:rPr>
          <w:rFonts w:ascii="仿宋" w:hAnsi="仿宋" w:eastAsia="仿宋" w:cs="宋体"/>
          <w:bCs/>
          <w:kern w:val="0"/>
          <w:sz w:val="28"/>
        </w:rPr>
      </w:pPr>
      <w:r>
        <w:rPr>
          <w:rFonts w:hint="eastAsia" w:ascii="仿宋" w:hAnsi="仿宋" w:eastAsia="仿宋" w:cs="宋体"/>
          <w:bCs/>
          <w:kern w:val="0"/>
          <w:sz w:val="28"/>
        </w:rPr>
        <w:t>1、按照招标方要求，移除东西绿肺布迪椰子各一颗（共2颗），重新提供并在原坑位补种</w:t>
      </w:r>
      <w:r>
        <w:rPr>
          <w:rFonts w:hint="eastAsia" w:ascii="仿宋" w:hAnsi="仿宋" w:eastAsia="仿宋" w:cs="宋体"/>
          <w:bCs/>
          <w:color w:val="000000" w:themeColor="text1"/>
          <w:kern w:val="0"/>
          <w:sz w:val="28"/>
        </w:rPr>
        <w:t>加拿利海枣</w:t>
      </w:r>
      <w:r>
        <w:rPr>
          <w:rFonts w:hint="eastAsia" w:ascii="仿宋" w:hAnsi="仿宋" w:eastAsia="仿宋" w:cs="宋体"/>
          <w:bCs/>
          <w:kern w:val="0"/>
          <w:sz w:val="28"/>
        </w:rPr>
        <w:t>，添加两颗酒瓶椰子，并按照绿肺养护标准进行养护；</w:t>
      </w:r>
    </w:p>
    <w:p>
      <w:pPr>
        <w:spacing w:line="540" w:lineRule="exact"/>
        <w:rPr>
          <w:rFonts w:ascii="仿宋" w:hAnsi="仿宋" w:eastAsia="仿宋" w:cs="宋体"/>
          <w:bCs/>
          <w:kern w:val="0"/>
          <w:sz w:val="28"/>
        </w:rPr>
      </w:pPr>
      <w:r>
        <w:rPr>
          <w:rFonts w:hint="eastAsia" w:ascii="仿宋" w:hAnsi="仿宋" w:eastAsia="仿宋" w:cs="宋体"/>
          <w:bCs/>
          <w:kern w:val="0"/>
          <w:sz w:val="28"/>
        </w:rPr>
        <w:t>2、报价包括移除椰原有布迪椰子费用运输、种植及成活养护周期3年；</w:t>
      </w:r>
    </w:p>
    <w:p>
      <w:pPr>
        <w:spacing w:line="540" w:lineRule="exact"/>
        <w:rPr>
          <w:rFonts w:ascii="仿宋" w:hAnsi="仿宋" w:eastAsia="仿宋" w:cs="宋体"/>
          <w:bCs/>
          <w:kern w:val="0"/>
          <w:sz w:val="28"/>
        </w:rPr>
      </w:pPr>
      <w:r>
        <w:rPr>
          <w:rFonts w:hint="eastAsia" w:ascii="仿宋" w:hAnsi="仿宋" w:eastAsia="仿宋" w:cs="宋体"/>
          <w:bCs/>
          <w:kern w:val="0"/>
          <w:sz w:val="28"/>
        </w:rPr>
        <w:t>3、提供的加拿利海枣及酒瓶椰子归属方为招标方；</w:t>
      </w:r>
    </w:p>
    <w:p>
      <w:pPr>
        <w:spacing w:line="540" w:lineRule="exact"/>
        <w:rPr>
          <w:rFonts w:ascii="仿宋" w:hAnsi="仿宋" w:eastAsia="仿宋" w:cs="宋体"/>
          <w:bCs/>
          <w:kern w:val="0"/>
          <w:sz w:val="28"/>
        </w:rPr>
      </w:pPr>
      <w:r>
        <w:rPr>
          <w:rFonts w:hint="eastAsia" w:ascii="仿宋" w:hAnsi="仿宋" w:eastAsia="仿宋" w:cs="宋体"/>
          <w:bCs/>
          <w:kern w:val="0"/>
          <w:sz w:val="28"/>
        </w:rPr>
        <w:t>4、在种植过程中供货方负责一切费用，并且在施工过程中预防安全事故，及对公共设施的保护.如造成设施损害的供应商应照价赔偿；</w:t>
      </w:r>
    </w:p>
    <w:p>
      <w:pPr>
        <w:spacing w:line="360" w:lineRule="auto"/>
        <w:rPr>
          <w:rFonts w:ascii="仿宋" w:hAnsi="仿宋" w:eastAsia="仿宋" w:cs="宋体"/>
          <w:bCs/>
          <w:kern w:val="0"/>
          <w:sz w:val="28"/>
        </w:rPr>
      </w:pPr>
      <w:r>
        <w:rPr>
          <w:rFonts w:hint="eastAsia" w:ascii="仿宋" w:hAnsi="仿宋" w:eastAsia="仿宋" w:cs="宋体"/>
          <w:bCs/>
          <w:kern w:val="0"/>
          <w:sz w:val="28"/>
        </w:rPr>
        <w:t>5、数量及标准如下：</w:t>
      </w:r>
    </w:p>
    <w:tbl>
      <w:tblPr>
        <w:tblStyle w:val="14"/>
        <w:tblW w:w="9527" w:type="dxa"/>
        <w:jc w:val="center"/>
        <w:tblInd w:w="-8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589"/>
        <w:gridCol w:w="994"/>
        <w:gridCol w:w="849"/>
        <w:gridCol w:w="1032"/>
        <w:gridCol w:w="3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6" w:hRule="atLeast"/>
          <w:jc w:val="center"/>
        </w:trPr>
        <w:tc>
          <w:tcPr>
            <w:tcW w:w="1276"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名称</w:t>
            </w:r>
          </w:p>
        </w:tc>
        <w:tc>
          <w:tcPr>
            <w:tcW w:w="1589"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规格（米）</w:t>
            </w:r>
          </w:p>
        </w:tc>
        <w:tc>
          <w:tcPr>
            <w:tcW w:w="994"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数量</w:t>
            </w:r>
          </w:p>
        </w:tc>
        <w:tc>
          <w:tcPr>
            <w:tcW w:w="849"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单价</w:t>
            </w:r>
          </w:p>
        </w:tc>
        <w:tc>
          <w:tcPr>
            <w:tcW w:w="1032"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合计</w:t>
            </w:r>
          </w:p>
        </w:tc>
        <w:tc>
          <w:tcPr>
            <w:tcW w:w="3787" w:type="dxa"/>
            <w:vAlign w:val="center"/>
          </w:tcPr>
          <w:p>
            <w:pPr>
              <w:spacing w:line="360" w:lineRule="auto"/>
              <w:jc w:val="center"/>
              <w:rPr>
                <w:rFonts w:ascii="仿宋_GB2312" w:hAnsi="仿宋_GB2312" w:eastAsia="仿宋_GB2312" w:cs="仿宋_GB2312"/>
                <w:color w:val="0000FF"/>
                <w:sz w:val="28"/>
                <w:szCs w:val="32"/>
              </w:rPr>
            </w:pPr>
            <w:r>
              <w:rPr>
                <w:rFonts w:hint="eastAsia" w:ascii="仿宋_GB2312" w:hAnsi="仿宋_GB2312" w:eastAsia="仿宋_GB2312" w:cs="仿宋_GB2312"/>
                <w:color w:val="0000FF"/>
                <w:sz w:val="28"/>
                <w:szCs w:val="32"/>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6" w:hRule="atLeast"/>
          <w:jc w:val="center"/>
        </w:trPr>
        <w:tc>
          <w:tcPr>
            <w:tcW w:w="1276"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加拿利海枣</w:t>
            </w:r>
          </w:p>
        </w:tc>
        <w:tc>
          <w:tcPr>
            <w:tcW w:w="1589"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4.5*2.5</w:t>
            </w:r>
          </w:p>
        </w:tc>
        <w:tc>
          <w:tcPr>
            <w:tcW w:w="994"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2</w:t>
            </w:r>
          </w:p>
        </w:tc>
        <w:tc>
          <w:tcPr>
            <w:tcW w:w="849" w:type="dxa"/>
            <w:vAlign w:val="center"/>
          </w:tcPr>
          <w:p>
            <w:pPr>
              <w:spacing w:line="360" w:lineRule="auto"/>
              <w:rPr>
                <w:rFonts w:ascii="仿宋_GB2312" w:hAnsi="仿宋_GB2312" w:eastAsia="仿宋_GB2312" w:cs="仿宋_GB2312"/>
                <w:color w:val="0000FF"/>
                <w:sz w:val="32"/>
                <w:szCs w:val="32"/>
              </w:rPr>
            </w:pPr>
          </w:p>
        </w:tc>
        <w:tc>
          <w:tcPr>
            <w:tcW w:w="1032" w:type="dxa"/>
            <w:vAlign w:val="center"/>
          </w:tcPr>
          <w:p>
            <w:pPr>
              <w:spacing w:line="360" w:lineRule="auto"/>
              <w:rPr>
                <w:rFonts w:ascii="仿宋_GB2312" w:hAnsi="仿宋_GB2312" w:eastAsia="仿宋_GB2312" w:cs="仿宋_GB2312"/>
                <w:color w:val="0000FF"/>
                <w:sz w:val="32"/>
                <w:szCs w:val="32"/>
              </w:rPr>
            </w:pPr>
          </w:p>
        </w:tc>
        <w:tc>
          <w:tcPr>
            <w:tcW w:w="3787" w:type="dxa"/>
            <w:vAlign w:val="center"/>
          </w:tcPr>
          <w:p>
            <w:pPr>
              <w:spacing w:line="360" w:lineRule="auto"/>
              <w:rPr>
                <w:rFonts w:ascii="仿宋_GB2312" w:hAnsi="仿宋_GB2312" w:eastAsia="仿宋_GB2312" w:cs="仿宋_GB2312"/>
                <w:color w:val="0000FF"/>
                <w:sz w:val="32"/>
                <w:szCs w:val="32"/>
              </w:rPr>
            </w:pPr>
            <w:r>
              <w:rPr>
                <w:rFonts w:hint="eastAsia"/>
                <w:color w:val="000000"/>
                <w:sz w:val="28"/>
                <w:szCs w:val="28"/>
              </w:rPr>
              <w:drawing>
                <wp:inline distT="0" distB="0" distL="0" distR="0">
                  <wp:extent cx="1554480" cy="1780540"/>
                  <wp:effectExtent l="19050" t="0" r="7531" b="0"/>
                  <wp:docPr id="22" name="图片 77" descr="233edd3afbf05b9fbaec268398e1c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7" descr="233edd3afbf05b9fbaec268398e1cb3"/>
                          <pic:cNvPicPr>
                            <a:picLocks noChangeAspect="1" noChangeArrowheads="1"/>
                          </pic:cNvPicPr>
                        </pic:nvPicPr>
                        <pic:blipFill>
                          <a:blip r:embed="rId11" cstate="print"/>
                          <a:srcRect/>
                          <a:stretch>
                            <a:fillRect/>
                          </a:stretch>
                        </pic:blipFill>
                        <pic:spPr>
                          <a:xfrm>
                            <a:off x="0" y="0"/>
                            <a:ext cx="1554782" cy="1780960"/>
                          </a:xfrm>
                          <a:prstGeom prst="rect">
                            <a:avLst/>
                          </a:prstGeom>
                          <a:noFill/>
                          <a:ln w="9525">
                            <a:noFill/>
                            <a:miter lim="800000"/>
                            <a:headEnd/>
                            <a:tailEnd/>
                          </a:ln>
                          <a:effectLst/>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1" w:hRule="atLeast"/>
          <w:jc w:val="center"/>
        </w:trPr>
        <w:tc>
          <w:tcPr>
            <w:tcW w:w="1276"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酒瓶椰子</w:t>
            </w:r>
          </w:p>
        </w:tc>
        <w:tc>
          <w:tcPr>
            <w:tcW w:w="1589"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2.8*2.0</w:t>
            </w:r>
          </w:p>
        </w:tc>
        <w:tc>
          <w:tcPr>
            <w:tcW w:w="994" w:type="dxa"/>
            <w:vAlign w:val="center"/>
          </w:tcPr>
          <w:p>
            <w:pPr>
              <w:spacing w:line="360" w:lineRule="auto"/>
              <w:rPr>
                <w:rFonts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rPr>
              <w:t>2</w:t>
            </w:r>
          </w:p>
        </w:tc>
        <w:tc>
          <w:tcPr>
            <w:tcW w:w="849" w:type="dxa"/>
            <w:vAlign w:val="center"/>
          </w:tcPr>
          <w:p>
            <w:pPr>
              <w:spacing w:line="360" w:lineRule="auto"/>
              <w:rPr>
                <w:rFonts w:ascii="仿宋_GB2312" w:hAnsi="仿宋_GB2312" w:eastAsia="仿宋_GB2312" w:cs="仿宋_GB2312"/>
                <w:color w:val="0000FF"/>
                <w:sz w:val="32"/>
                <w:szCs w:val="32"/>
              </w:rPr>
            </w:pPr>
          </w:p>
        </w:tc>
        <w:tc>
          <w:tcPr>
            <w:tcW w:w="1032" w:type="dxa"/>
            <w:vAlign w:val="center"/>
          </w:tcPr>
          <w:p>
            <w:pPr>
              <w:spacing w:line="360" w:lineRule="auto"/>
              <w:rPr>
                <w:rFonts w:ascii="仿宋_GB2312" w:hAnsi="仿宋_GB2312" w:eastAsia="仿宋_GB2312" w:cs="仿宋_GB2312"/>
                <w:color w:val="0000FF"/>
                <w:sz w:val="32"/>
                <w:szCs w:val="32"/>
              </w:rPr>
            </w:pPr>
          </w:p>
        </w:tc>
        <w:tc>
          <w:tcPr>
            <w:tcW w:w="3787" w:type="dxa"/>
            <w:vAlign w:val="center"/>
          </w:tcPr>
          <w:p>
            <w:pPr>
              <w:spacing w:line="360" w:lineRule="auto"/>
              <w:rPr>
                <w:color w:val="000000"/>
                <w:sz w:val="28"/>
                <w:szCs w:val="28"/>
              </w:rPr>
            </w:pPr>
            <w:r>
              <w:rPr>
                <w:rFonts w:hint="eastAsia"/>
                <w:color w:val="000000"/>
                <w:sz w:val="28"/>
                <w:szCs w:val="28"/>
              </w:rPr>
              <w:drawing>
                <wp:inline distT="0" distB="0" distL="0" distR="0">
                  <wp:extent cx="1275715" cy="1998980"/>
                  <wp:effectExtent l="19050" t="0" r="635" b="0"/>
                  <wp:docPr id="23" name="图片 83" descr="3aced3c1cc0b3cecbe4d40b06e806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3" descr="3aced3c1cc0b3cecbe4d40b06e806a9"/>
                          <pic:cNvPicPr>
                            <a:picLocks noChangeAspect="1" noChangeArrowheads="1"/>
                          </pic:cNvPicPr>
                        </pic:nvPicPr>
                        <pic:blipFill>
                          <a:blip r:embed="rId12" cstate="print"/>
                          <a:srcRect/>
                          <a:stretch>
                            <a:fillRect/>
                          </a:stretch>
                        </pic:blipFill>
                        <pic:spPr>
                          <a:xfrm>
                            <a:off x="0" y="0"/>
                            <a:ext cx="1275715" cy="1998980"/>
                          </a:xfrm>
                          <a:prstGeom prst="rect">
                            <a:avLst/>
                          </a:prstGeom>
                          <a:noFill/>
                          <a:ln w="9525">
                            <a:noFill/>
                            <a:miter lim="800000"/>
                            <a:headEnd/>
                            <a:tailEnd/>
                          </a:ln>
                          <a:effectLst/>
                        </pic:spPr>
                      </pic:pic>
                    </a:graphicData>
                  </a:graphic>
                </wp:inline>
              </w:drawing>
            </w:r>
          </w:p>
        </w:tc>
      </w:tr>
    </w:tbl>
    <w:p>
      <w:pPr>
        <w:ind w:firstLine="562" w:firstLineChars="200"/>
        <w:outlineLvl w:val="1"/>
      </w:pPr>
      <w:bookmarkStart w:id="11" w:name="_Toc2950391"/>
      <w:r>
        <w:rPr>
          <w:rFonts w:hint="eastAsia" w:ascii="仿宋" w:hAnsi="仿宋" w:eastAsia="仿宋" w:cs="Cambria"/>
          <w:b/>
          <w:bCs/>
          <w:kern w:val="0"/>
          <w:sz w:val="28"/>
          <w:szCs w:val="32"/>
        </w:rPr>
        <w:t>四、绿肺养护要求（</w:t>
      </w:r>
      <w:r>
        <w:rPr>
          <w:rFonts w:hint="eastAsia" w:ascii="仿宋" w:hAnsi="仿宋" w:eastAsia="仿宋"/>
          <w:color w:val="000000"/>
          <w:sz w:val="28"/>
          <w:szCs w:val="28"/>
        </w:rPr>
        <w:t>航站楼绿肺共有大小绿植3000株左右</w:t>
      </w:r>
      <w:r>
        <w:rPr>
          <w:rFonts w:hint="eastAsia" w:ascii="仿宋" w:hAnsi="仿宋" w:eastAsia="仿宋" w:cs="Cambria"/>
          <w:b/>
          <w:bCs/>
          <w:kern w:val="0"/>
          <w:sz w:val="28"/>
          <w:szCs w:val="32"/>
        </w:rPr>
        <w:t>）</w:t>
      </w:r>
      <w:bookmarkEnd w:id="11"/>
    </w:p>
    <w:p>
      <w:pPr>
        <w:spacing w:line="520" w:lineRule="exact"/>
        <w:ind w:firstLine="560" w:firstLineChars="200"/>
        <w:rPr>
          <w:rFonts w:ascii="仿宋" w:hAnsi="仿宋" w:eastAsia="仿宋" w:cs="仿宋"/>
          <w:b/>
          <w:bCs/>
          <w:sz w:val="32"/>
          <w:szCs w:val="32"/>
        </w:rPr>
      </w:pPr>
      <w:r>
        <w:rPr>
          <w:rFonts w:hint="eastAsia" w:ascii="仿宋" w:hAnsi="仿宋" w:eastAsia="仿宋"/>
          <w:bCs/>
          <w:color w:val="000000"/>
          <w:sz w:val="28"/>
          <w:szCs w:val="28"/>
        </w:rPr>
        <w:t>1.养护内容</w:t>
      </w:r>
    </w:p>
    <w:p>
      <w:pPr>
        <w:spacing w:line="360" w:lineRule="auto"/>
        <w:ind w:firstLine="570"/>
        <w:rPr>
          <w:rFonts w:ascii="仿宋" w:hAnsi="仿宋" w:eastAsia="仿宋"/>
          <w:sz w:val="28"/>
          <w:szCs w:val="28"/>
        </w:rPr>
      </w:pPr>
      <w:r>
        <w:rPr>
          <w:rFonts w:hint="eastAsia" w:ascii="仿宋" w:hAnsi="仿宋" w:eastAsia="仿宋"/>
          <w:color w:val="000000"/>
          <w:sz w:val="28"/>
          <w:szCs w:val="28"/>
        </w:rPr>
        <w:t>1.1投标人负责整体绿肺绿植的修剪、施肥、打药等日常养护工作；如遇老人葵（5棵）、酒瓶椰子、</w:t>
      </w:r>
      <w:r>
        <w:rPr>
          <w:rFonts w:hint="eastAsia" w:ascii="仿宋" w:hAnsi="仿宋" w:eastAsia="仿宋" w:cs="宋体"/>
          <w:bCs/>
          <w:color w:val="000000" w:themeColor="text1"/>
          <w:kern w:val="0"/>
          <w:sz w:val="28"/>
        </w:rPr>
        <w:t>加拿利海枣</w:t>
      </w:r>
      <w:r>
        <w:rPr>
          <w:rFonts w:hint="eastAsia" w:ascii="仿宋" w:hAnsi="仿宋" w:eastAsia="仿宋"/>
          <w:color w:val="000000"/>
          <w:sz w:val="28"/>
          <w:szCs w:val="28"/>
        </w:rPr>
        <w:t>、布迪椰子（含）死亡需由投标方进行更换，更换周期为1个月，其他绿植死亡须</w:t>
      </w:r>
      <w:r>
        <w:rPr>
          <w:rFonts w:hint="eastAsia" w:ascii="仿宋" w:hAnsi="仿宋" w:eastAsia="仿宋"/>
          <w:sz w:val="28"/>
          <w:szCs w:val="28"/>
        </w:rPr>
        <w:t>于两日内进行同品种补植；</w:t>
      </w:r>
    </w:p>
    <w:p>
      <w:pPr>
        <w:spacing w:line="360" w:lineRule="auto"/>
        <w:rPr>
          <w:rFonts w:ascii="仿宋" w:hAnsi="仿宋" w:eastAsia="仿宋"/>
          <w:sz w:val="28"/>
          <w:szCs w:val="28"/>
        </w:rPr>
      </w:pPr>
      <w:r>
        <w:rPr>
          <w:rFonts w:hint="eastAsia" w:ascii="仿宋" w:hAnsi="仿宋" w:eastAsia="仿宋"/>
          <w:sz w:val="28"/>
          <w:szCs w:val="28"/>
        </w:rPr>
        <w:t xml:space="preserve">    2.绿植/花卉标准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2.1长势良好，同一区域的绿植/花卉高度一致；</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2.2及时修剪生长过旺或株形欠佳的植物，并进行整形；</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2.3擦拭叶面时应做到下手轻、顺叶脉方向，擦拭后的植物应呈现植物原本叶色；</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2.4叶面无尘土、污物，保持洁净光亮；（至少每三天用叶面清洗剂对叶面清洗一次，叶面不喜水的植物每周使用有针对性可行办法进行叶面清洗，特殊情况随时清理）</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2.5枝叶茂盛，无枯枝病叶、黄叶、黑叶；</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2.6绿植修剪平整、美观，无残叶、残枝；</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2.7花卉修剪美观，无萎靡状态的残花、败花；</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2.8土壤干湿适度，无干旱缺水现象；</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2.9土壤洁净，无杂物、杂草、纸屑等；</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2.10铺设陶粒应平整均匀，表面无杂物；</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2.11叶子无虫咬的孔洞，径干和叶子不霉；</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2.12对影响美观的残花/绿植，在发现2日内更换、清理完成；</w:t>
      </w:r>
    </w:p>
    <w:p>
      <w:pP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2.13绿植摆放间距相等，做到横平竖直，不得有歪斜现象；</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2.14绿植/花卉不缺少、不枯干，在发现三日内更换相同品种和高度的绿植/花卉；</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2.15 绿植/花卉营养充足，根据具体情况，按时施肥打药，确保长势良好；</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2.16 绿肺绿植密度合理，疏稀适当，无明显土壤裸露区及绿植疏稀区，缺少的绿植应于三日内完成同类绿植的补充，如需变更绿植种类或补植替代品，应征得甲方同意后方可实施。</w:t>
      </w:r>
    </w:p>
    <w:p>
      <w:pPr>
        <w:spacing w:line="360" w:lineRule="auto"/>
        <w:ind w:firstLine="560" w:firstLineChars="200"/>
        <w:rPr>
          <w:rFonts w:ascii="仿宋" w:hAnsi="仿宋" w:eastAsia="仿宋"/>
          <w:color w:val="000000"/>
          <w:sz w:val="28"/>
          <w:szCs w:val="28"/>
        </w:rPr>
      </w:pPr>
      <w:r>
        <w:rPr>
          <w:rFonts w:hint="eastAsia" w:ascii="仿宋_GB2312" w:hAnsi="仿宋_GB2312" w:eastAsia="仿宋_GB2312" w:cs="仿宋_GB2312"/>
          <w:sz w:val="28"/>
          <w:szCs w:val="28"/>
        </w:rPr>
        <w:t>2.17 根据采光情况尽量做到花卉品种颜色搭配适当，增强整体观赏价值。</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其他：绿肺养护人员（专人）须每日到甲方服务区域内进行维护作业，按照单人单日8小时标准（无周末及法定假日），每日需到甲方指定的位置签到，签退；旷工一日除扣罚分数外，另三倍扣除人工费，连续三日旷工，或累计旷工六个工作日，招标方有权解除合同，由此造成的损失由投标方方全部承担。</w:t>
      </w:r>
    </w:p>
    <w:p>
      <w:pPr>
        <w:spacing w:line="360" w:lineRule="auto"/>
        <w:ind w:firstLine="281" w:firstLineChars="100"/>
        <w:outlineLvl w:val="1"/>
        <w:rPr>
          <w:rFonts w:ascii="仿宋_GB2312" w:hAnsi="仿宋_GB2312" w:eastAsia="仿宋_GB2312" w:cs="仿宋_GB2312"/>
          <w:sz w:val="32"/>
        </w:rPr>
      </w:pPr>
      <w:bookmarkStart w:id="12" w:name="_Toc2950392"/>
      <w:r>
        <w:rPr>
          <w:rFonts w:hint="eastAsia" w:ascii="仿宋" w:hAnsi="仿宋" w:eastAsia="仿宋" w:cs="Cambria"/>
          <w:b/>
          <w:bCs/>
          <w:kern w:val="0"/>
          <w:sz w:val="28"/>
          <w:szCs w:val="32"/>
        </w:rPr>
        <w:t>五、服务考核标准</w:t>
      </w:r>
      <w:bookmarkEnd w:id="12"/>
    </w:p>
    <w:tbl>
      <w:tblPr>
        <w:tblStyle w:val="14"/>
        <w:tblW w:w="9056" w:type="dxa"/>
        <w:jc w:val="center"/>
        <w:tblInd w:w="-252" w:type="dxa"/>
        <w:tblLayout w:type="fixed"/>
        <w:tblCellMar>
          <w:top w:w="0" w:type="dxa"/>
          <w:left w:w="108" w:type="dxa"/>
          <w:bottom w:w="0" w:type="dxa"/>
          <w:right w:w="108" w:type="dxa"/>
        </w:tblCellMar>
      </w:tblPr>
      <w:tblGrid>
        <w:gridCol w:w="776"/>
        <w:gridCol w:w="1440"/>
        <w:gridCol w:w="4984"/>
        <w:gridCol w:w="1856"/>
      </w:tblGrid>
      <w:tr>
        <w:tblPrEx>
          <w:tblLayout w:type="fixed"/>
          <w:tblCellMar>
            <w:top w:w="0" w:type="dxa"/>
            <w:left w:w="108" w:type="dxa"/>
            <w:bottom w:w="0" w:type="dxa"/>
            <w:right w:w="108" w:type="dxa"/>
          </w:tblCellMar>
        </w:tblPrEx>
        <w:trPr>
          <w:trHeight w:val="397" w:hRule="exact"/>
          <w:jc w:val="center"/>
        </w:trPr>
        <w:tc>
          <w:tcPr>
            <w:tcW w:w="7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序号</w:t>
            </w:r>
          </w:p>
        </w:tc>
        <w:tc>
          <w:tcPr>
            <w:tcW w:w="14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检查项目</w:t>
            </w:r>
          </w:p>
        </w:tc>
        <w:tc>
          <w:tcPr>
            <w:tcW w:w="4984"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检查内容</w:t>
            </w:r>
          </w:p>
        </w:tc>
        <w:tc>
          <w:tcPr>
            <w:tcW w:w="185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扣罚分数</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nil"/>
              <w:left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1</w:t>
            </w:r>
          </w:p>
        </w:tc>
        <w:tc>
          <w:tcPr>
            <w:tcW w:w="1440" w:type="dxa"/>
            <w:vMerge w:val="restart"/>
            <w:tcBorders>
              <w:top w:val="nil"/>
              <w:left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外观</w:t>
            </w: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修剪均匀、整齐，不变形</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无塑料包装袋、绳缠绕</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绿植、花卉数量不缺少</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6分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花盆不外露，低于花器的高度</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绿植无萎靡、干枯、坏死分枝</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无腐烂和掉落的枯叶、残花</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olor w:val="000000"/>
                <w:sz w:val="24"/>
              </w:rPr>
              <w:t>绿肺绿植密度合理，疏稀适当</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w:t>
            </w:r>
          </w:p>
        </w:tc>
        <w:tc>
          <w:tcPr>
            <w:tcW w:w="144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叶面、茎、干</w:t>
            </w: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茎干和枝叶无烟灰、无发霉</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树枝、树干不干枯、不腐烂</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叶面无尘土、污物，保持洁净光亮</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枝叶无病叶、黄叶、黑叶</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枝干、枝叶无折断现象，保持自然弯垂</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3</w:t>
            </w:r>
          </w:p>
        </w:tc>
        <w:tc>
          <w:tcPr>
            <w:tcW w:w="144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土壤</w:t>
            </w: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土壤洁净，无杂草、纸屑、烟头等废弃物</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土壤保持湿润，适宜绿植生长</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陶粒铺设平整均匀，颗粒颜色形状大小一致</w:t>
            </w:r>
          </w:p>
        </w:tc>
        <w:tc>
          <w:tcPr>
            <w:tcW w:w="185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4</w:t>
            </w:r>
          </w:p>
        </w:tc>
        <w:tc>
          <w:tcPr>
            <w:tcW w:w="144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花器、套盆</w:t>
            </w: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花器、套盆完整，无破损、裂痕</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575"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花器、套盆洁净整齐，无纸屑、污物、无附着物</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609"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花器、套盆摆放间距相等，间隔适当，做到横平竖直</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460"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rPr>
                <w:rFonts w:ascii="仿宋_GB2312" w:hAnsi="仿宋" w:eastAsia="仿宋_GB2312" w:cs="宋体"/>
                <w:bCs/>
                <w:kern w:val="0"/>
                <w:sz w:val="24"/>
              </w:rPr>
            </w:pPr>
            <w:r>
              <w:rPr>
                <w:rFonts w:hint="eastAsia" w:ascii="仿宋_GB2312" w:hAnsi="仿宋" w:eastAsia="仿宋_GB2312" w:cs="宋体"/>
                <w:bCs/>
                <w:kern w:val="0"/>
                <w:sz w:val="24"/>
              </w:rPr>
              <w:t>花器/套盆四周不得有水溢出，托盘内无积水</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花器、套盆与植物的比例适当</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同一区域的花器/套盆种类、花色、大小相同</w:t>
            </w:r>
          </w:p>
        </w:tc>
        <w:tc>
          <w:tcPr>
            <w:tcW w:w="1856" w:type="dxa"/>
            <w:tcBorders>
              <w:top w:val="nil"/>
              <w:left w:val="single" w:color="auto" w:sz="4" w:space="0"/>
              <w:bottom w:val="single" w:color="000000"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5</w:t>
            </w:r>
          </w:p>
        </w:tc>
        <w:tc>
          <w:tcPr>
            <w:tcW w:w="144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病虫害</w:t>
            </w: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茎干、枝叶无虫咬的孔洞</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14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s="宋体"/>
                <w:bCs/>
                <w:kern w:val="0"/>
                <w:sz w:val="24"/>
              </w:rPr>
              <w:t>土壤无蚂蚁、蜘蛛等虫</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2分</w:t>
            </w:r>
          </w:p>
        </w:tc>
      </w:tr>
      <w:tr>
        <w:tblPrEx>
          <w:tblLayout w:type="fixed"/>
          <w:tblCellMar>
            <w:top w:w="0" w:type="dxa"/>
            <w:left w:w="108" w:type="dxa"/>
            <w:bottom w:w="0" w:type="dxa"/>
            <w:right w:w="108" w:type="dxa"/>
          </w:tblCellMar>
        </w:tblPrEx>
        <w:trPr>
          <w:trHeight w:val="397" w:hRule="exact"/>
          <w:jc w:val="center"/>
        </w:trPr>
        <w:tc>
          <w:tcPr>
            <w:tcW w:w="7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r>
              <w:rPr>
                <w:rFonts w:hint="eastAsia" w:ascii="仿宋_GB2312" w:hAnsi="仿宋" w:eastAsia="仿宋_GB2312" w:cs="宋体"/>
                <w:bCs/>
                <w:kern w:val="0"/>
                <w:sz w:val="24"/>
              </w:rPr>
              <w:t>6</w:t>
            </w:r>
          </w:p>
        </w:tc>
        <w:tc>
          <w:tcPr>
            <w:tcW w:w="144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r>
              <w:rPr>
                <w:rFonts w:hint="eastAsia" w:ascii="仿宋_GB2312" w:hAnsi="仿宋" w:eastAsia="仿宋_GB2312" w:cs="宋体"/>
                <w:bCs/>
                <w:kern w:val="0"/>
                <w:sz w:val="24"/>
              </w:rPr>
              <w:t>安全</w:t>
            </w:r>
          </w:p>
        </w:tc>
        <w:tc>
          <w:tcPr>
            <w:tcW w:w="4984" w:type="dxa"/>
            <w:tcBorders>
              <w:top w:val="nil"/>
              <w:left w:val="nil"/>
              <w:bottom w:val="single" w:color="auto" w:sz="4" w:space="0"/>
              <w:right w:val="single" w:color="auto" w:sz="4" w:space="0"/>
            </w:tcBorders>
            <w:vAlign w:val="center"/>
          </w:tcPr>
          <w:p>
            <w:pPr>
              <w:spacing w:line="360" w:lineRule="auto"/>
              <w:rPr>
                <w:rFonts w:ascii="仿宋_GB2312" w:hAnsi="仿宋" w:eastAsia="仿宋_GB2312"/>
                <w:color w:val="000000"/>
                <w:sz w:val="24"/>
              </w:rPr>
            </w:pPr>
            <w:r>
              <w:rPr>
                <w:rFonts w:hint="eastAsia" w:ascii="仿宋_GB2312" w:hAnsi="仿宋" w:eastAsia="仿宋_GB2312"/>
                <w:color w:val="000000"/>
                <w:sz w:val="24"/>
              </w:rPr>
              <w:t>不存在支撑物、牵拉绳不牢固现象；</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6.5不存在使用有毒有害的药品及国家明令禁止的药品的现象；</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6.6不存在乱丢药品包装现象；</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6.7无有毒有害植物；</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6.8无吸氧植物及有明显气味植物；</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6.9不存在因养护作业损坏、划伤公共区域设施及物品（包括大理石地面、木地板、桌面，地毯等），破坏原有卫生环境现象。</w:t>
            </w:r>
          </w:p>
          <w:p>
            <w:pPr>
              <w:widowControl/>
              <w:jc w:val="left"/>
              <w:rPr>
                <w:rFonts w:ascii="仿宋_GB2312" w:hAnsi="仿宋" w:eastAsia="仿宋_GB2312" w:cs="宋体"/>
                <w:bCs/>
                <w:kern w:val="0"/>
                <w:sz w:val="24"/>
              </w:rPr>
            </w:pP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12</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spacing w:line="360" w:lineRule="auto"/>
              <w:rPr>
                <w:rFonts w:ascii="仿宋_GB2312" w:hAnsi="仿宋" w:eastAsia="仿宋_GB2312"/>
                <w:color w:val="000000"/>
                <w:sz w:val="24"/>
              </w:rPr>
            </w:pPr>
            <w:r>
              <w:rPr>
                <w:rFonts w:hint="eastAsia" w:ascii="仿宋_GB2312" w:hAnsi="仿宋" w:eastAsia="仿宋_GB2312"/>
                <w:color w:val="000000"/>
                <w:sz w:val="24"/>
              </w:rPr>
              <w:t>不存在围挡、装饰物有尖突造型现象</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6.6不存在乱丢药品包装现象；</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6.7无有毒有害植物；</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6.8无吸氧植物及有明显气味植物；</w:t>
            </w:r>
          </w:p>
          <w:p>
            <w:pPr>
              <w:spacing w:line="360" w:lineRule="auto"/>
              <w:ind w:firstLine="480" w:firstLineChars="200"/>
              <w:rPr>
                <w:rFonts w:ascii="仿宋_GB2312" w:hAnsi="仿宋" w:eastAsia="仿宋_GB2312"/>
                <w:color w:val="000000"/>
                <w:sz w:val="24"/>
              </w:rPr>
            </w:pPr>
            <w:r>
              <w:rPr>
                <w:rFonts w:hint="eastAsia" w:ascii="仿宋_GB2312" w:hAnsi="仿宋" w:eastAsia="仿宋_GB2312"/>
                <w:color w:val="000000"/>
                <w:sz w:val="24"/>
              </w:rPr>
              <w:t>6.9不存在因养护作业损坏、划伤公共区域设施及物品（包括大理石地面、木地板、桌面，地毯等），破坏原有卫生环境现象。</w:t>
            </w:r>
          </w:p>
          <w:p>
            <w:pPr>
              <w:widowControl/>
              <w:jc w:val="left"/>
              <w:rPr>
                <w:rFonts w:ascii="仿宋_GB2312" w:hAnsi="仿宋" w:eastAsia="仿宋_GB2312" w:cs="宋体"/>
                <w:bCs/>
                <w:kern w:val="0"/>
                <w:sz w:val="24"/>
              </w:rPr>
            </w:pP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12</w:t>
            </w:r>
          </w:p>
        </w:tc>
      </w:tr>
      <w:tr>
        <w:tblPrEx>
          <w:tblLayout w:type="fixed"/>
          <w:tblCellMar>
            <w:top w:w="0" w:type="dxa"/>
            <w:left w:w="108" w:type="dxa"/>
            <w:bottom w:w="0" w:type="dxa"/>
            <w:right w:w="108" w:type="dxa"/>
          </w:tblCellMar>
        </w:tblPrEx>
        <w:trPr>
          <w:trHeight w:val="697" w:hRule="exact"/>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olor w:val="000000"/>
                <w:sz w:val="24"/>
              </w:rPr>
              <w:t>不存在使用有毒有害的药品及国家明令禁止的药品的现象。</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20</w:t>
            </w:r>
          </w:p>
        </w:tc>
      </w:tr>
      <w:tr>
        <w:tblPrEx>
          <w:tblLayout w:type="fixed"/>
          <w:tblCellMar>
            <w:top w:w="0" w:type="dxa"/>
            <w:left w:w="108" w:type="dxa"/>
            <w:bottom w:w="0" w:type="dxa"/>
            <w:right w:w="108" w:type="dxa"/>
          </w:tblCellMar>
        </w:tblPrEx>
        <w:trPr>
          <w:trHeight w:val="397" w:hRule="exact"/>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cs="宋体"/>
                <w:bCs/>
                <w:kern w:val="0"/>
                <w:sz w:val="24"/>
              </w:rPr>
            </w:pPr>
          </w:p>
        </w:tc>
        <w:tc>
          <w:tcPr>
            <w:tcW w:w="4984" w:type="dxa"/>
            <w:tcBorders>
              <w:top w:val="nil"/>
              <w:left w:val="nil"/>
              <w:bottom w:val="single" w:color="auto" w:sz="4" w:space="0"/>
              <w:right w:val="single" w:color="auto" w:sz="4" w:space="0"/>
            </w:tcBorders>
            <w:vAlign w:val="center"/>
          </w:tcPr>
          <w:p>
            <w:pPr>
              <w:widowControl/>
              <w:jc w:val="left"/>
              <w:rPr>
                <w:rFonts w:ascii="仿宋_GB2312" w:hAnsi="仿宋" w:eastAsia="仿宋_GB2312" w:cs="宋体"/>
                <w:bCs/>
                <w:kern w:val="0"/>
                <w:sz w:val="24"/>
              </w:rPr>
            </w:pPr>
            <w:r>
              <w:rPr>
                <w:rFonts w:hint="eastAsia" w:ascii="仿宋_GB2312" w:hAnsi="仿宋" w:eastAsia="仿宋_GB2312"/>
                <w:color w:val="000000"/>
                <w:sz w:val="24"/>
              </w:rPr>
              <w:t>不存在乱丢药品包装现象</w:t>
            </w:r>
          </w:p>
        </w:tc>
        <w:tc>
          <w:tcPr>
            <w:tcW w:w="1856" w:type="dxa"/>
            <w:tcBorders>
              <w:top w:val="nil"/>
              <w:left w:val="nil"/>
              <w:bottom w:val="single" w:color="auto" w:sz="4" w:space="0"/>
              <w:right w:val="single" w:color="auto" w:sz="4" w:space="0"/>
            </w:tcBorders>
            <w:vAlign w:val="center"/>
          </w:tcPr>
          <w:p>
            <w:pPr>
              <w:widowControl/>
              <w:jc w:val="center"/>
              <w:rPr>
                <w:rFonts w:ascii="仿宋_GB2312" w:hAnsi="仿宋" w:eastAsia="仿宋_GB2312" w:cs="宋体"/>
                <w:bCs/>
                <w:kern w:val="0"/>
                <w:sz w:val="24"/>
              </w:rPr>
            </w:pPr>
            <w:r>
              <w:rPr>
                <w:rFonts w:hint="eastAsia" w:ascii="仿宋_GB2312" w:hAnsi="仿宋" w:eastAsia="仿宋_GB2312" w:cs="宋体"/>
                <w:bCs/>
                <w:kern w:val="0"/>
                <w:sz w:val="24"/>
              </w:rPr>
              <w:t>20</w:t>
            </w:r>
          </w:p>
        </w:tc>
      </w:tr>
      <w:tr>
        <w:tblPrEx>
          <w:tblLayout w:type="fixed"/>
          <w:tblCellMar>
            <w:top w:w="0" w:type="dxa"/>
            <w:left w:w="108" w:type="dxa"/>
            <w:bottom w:w="0" w:type="dxa"/>
            <w:right w:w="108" w:type="dxa"/>
          </w:tblCellMar>
        </w:tblPrEx>
        <w:trPr>
          <w:trHeight w:val="660" w:hRule="exact"/>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p>
        </w:tc>
        <w:tc>
          <w:tcPr>
            <w:tcW w:w="4984" w:type="dxa"/>
            <w:tcBorders>
              <w:top w:val="single" w:color="auto" w:sz="4" w:space="0"/>
              <w:left w:val="nil"/>
              <w:bottom w:val="single" w:color="auto" w:sz="4" w:space="0"/>
              <w:right w:val="single" w:color="auto" w:sz="4" w:space="0"/>
            </w:tcBorders>
            <w:vAlign w:val="center"/>
          </w:tcPr>
          <w:p>
            <w:pPr>
              <w:widowControl/>
              <w:jc w:val="left"/>
              <w:rPr>
                <w:rFonts w:ascii="仿宋_GB2312" w:hAnsi="仿宋" w:eastAsia="仿宋_GB2312" w:cs="宋体"/>
                <w:kern w:val="0"/>
                <w:sz w:val="24"/>
              </w:rPr>
            </w:pPr>
            <w:r>
              <w:rPr>
                <w:rFonts w:hint="eastAsia" w:ascii="仿宋_GB2312" w:hAnsi="仿宋" w:eastAsia="仿宋_GB2312"/>
                <w:color w:val="000000"/>
                <w:sz w:val="24"/>
              </w:rPr>
              <w:t>不存在因养护作业损坏、划伤公共区域设施及物品。</w:t>
            </w:r>
          </w:p>
        </w:tc>
        <w:tc>
          <w:tcPr>
            <w:tcW w:w="185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kern w:val="0"/>
                <w:sz w:val="24"/>
              </w:rPr>
            </w:pPr>
            <w:r>
              <w:rPr>
                <w:rFonts w:hint="eastAsia" w:ascii="仿宋_GB2312" w:hAnsi="仿宋" w:eastAsia="仿宋_GB2312" w:cs="宋体"/>
                <w:kern w:val="0"/>
                <w:sz w:val="24"/>
              </w:rPr>
              <w:t>20</w:t>
            </w:r>
          </w:p>
        </w:tc>
      </w:tr>
      <w:tr>
        <w:tblPrEx>
          <w:tblLayout w:type="fixed"/>
          <w:tblCellMar>
            <w:top w:w="0" w:type="dxa"/>
            <w:left w:w="108" w:type="dxa"/>
            <w:bottom w:w="0" w:type="dxa"/>
            <w:right w:w="108" w:type="dxa"/>
          </w:tblCellMar>
        </w:tblPrEx>
        <w:trPr>
          <w:trHeight w:val="455" w:hRule="exact"/>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 w:eastAsia="仿宋_GB2312" w:cs="宋体"/>
                <w:bCs/>
                <w:kern w:val="0"/>
                <w:sz w:val="24"/>
              </w:rPr>
            </w:pPr>
          </w:p>
        </w:tc>
        <w:tc>
          <w:tcPr>
            <w:tcW w:w="4984" w:type="dxa"/>
            <w:tcBorders>
              <w:top w:val="single" w:color="auto" w:sz="4" w:space="0"/>
              <w:left w:val="nil"/>
              <w:bottom w:val="single" w:color="auto" w:sz="4" w:space="0"/>
              <w:right w:val="single" w:color="auto" w:sz="4" w:space="0"/>
            </w:tcBorders>
            <w:vAlign w:val="center"/>
          </w:tcPr>
          <w:p>
            <w:pPr>
              <w:widowControl/>
              <w:rPr>
                <w:rFonts w:ascii="仿宋_GB2312" w:hAnsi="仿宋" w:eastAsia="仿宋_GB2312" w:cs="宋体"/>
                <w:kern w:val="0"/>
                <w:sz w:val="24"/>
              </w:rPr>
            </w:pPr>
            <w:r>
              <w:rPr>
                <w:rFonts w:hint="eastAsia" w:ascii="仿宋_GB2312" w:hAnsi="仿宋" w:eastAsia="仿宋_GB2312"/>
                <w:color w:val="000000"/>
                <w:sz w:val="24"/>
              </w:rPr>
              <w:t>无有毒有害植物</w:t>
            </w:r>
          </w:p>
        </w:tc>
        <w:tc>
          <w:tcPr>
            <w:tcW w:w="1856" w:type="dxa"/>
            <w:tcBorders>
              <w:top w:val="single" w:color="auto" w:sz="4" w:space="0"/>
              <w:left w:val="nil"/>
              <w:bottom w:val="single" w:color="auto" w:sz="4" w:space="0"/>
              <w:right w:val="single" w:color="auto" w:sz="4" w:space="0"/>
            </w:tcBorders>
            <w:vAlign w:val="center"/>
          </w:tcPr>
          <w:p>
            <w:pPr>
              <w:widowControl/>
              <w:jc w:val="center"/>
              <w:rPr>
                <w:rFonts w:ascii="仿宋_GB2312" w:hAnsi="仿宋" w:eastAsia="仿宋_GB2312" w:cs="宋体"/>
                <w:kern w:val="0"/>
                <w:sz w:val="24"/>
              </w:rPr>
            </w:pPr>
            <w:r>
              <w:rPr>
                <w:rFonts w:hint="eastAsia" w:ascii="仿宋_GB2312" w:hAnsi="仿宋" w:eastAsia="仿宋_GB2312" w:cs="宋体"/>
                <w:kern w:val="0"/>
                <w:sz w:val="24"/>
              </w:rPr>
              <w:t>20</w:t>
            </w:r>
          </w:p>
        </w:tc>
      </w:tr>
    </w:tbl>
    <w:p>
      <w:pPr>
        <w:spacing w:line="360" w:lineRule="auto"/>
        <w:ind w:firstLine="562" w:firstLineChars="200"/>
        <w:outlineLvl w:val="1"/>
        <w:rPr>
          <w:rFonts w:ascii="仿宋" w:hAnsi="仿宋" w:eastAsia="仿宋" w:cs="Cambria"/>
          <w:b/>
          <w:bCs/>
          <w:kern w:val="0"/>
          <w:sz w:val="28"/>
          <w:szCs w:val="32"/>
        </w:rPr>
      </w:pPr>
      <w:bookmarkStart w:id="13" w:name="_Toc2950393"/>
      <w:r>
        <w:rPr>
          <w:rFonts w:hint="eastAsia" w:ascii="仿宋" w:hAnsi="仿宋" w:eastAsia="仿宋" w:cs="Cambria"/>
          <w:b/>
          <w:bCs/>
          <w:kern w:val="0"/>
          <w:sz w:val="28"/>
          <w:szCs w:val="32"/>
        </w:rPr>
        <w:t>六、其他要求</w:t>
      </w:r>
      <w:bookmarkEnd w:id="13"/>
    </w:p>
    <w:p>
      <w:pPr>
        <w:spacing w:line="36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1.合同签订之日起15天内须按照招标方绿植租摆要求完成绿植租摆的摆放工作；</w:t>
      </w:r>
    </w:p>
    <w:p>
      <w:pPr>
        <w:spacing w:line="36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2.东西绿肺需要种植的两颗加拿利海枣和两颗酒瓶椰子须在合同签订之日起的20天内完成种植；</w:t>
      </w:r>
    </w:p>
    <w:p>
      <w:pPr>
        <w:spacing w:line="36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3.定制的大理石花箱和玻璃钢花盆须在合同签订之日起的30天内到货并投入使用。</w:t>
      </w:r>
    </w:p>
    <w:p>
      <w:pPr>
        <w:spacing w:line="360" w:lineRule="auto"/>
        <w:jc w:val="center"/>
        <w:rPr>
          <w:rFonts w:ascii="仿宋_GB2312" w:hAnsi="仿宋_GB2312" w:eastAsia="仿宋_GB2312" w:cs="仿宋_GB2312"/>
          <w:sz w:val="32"/>
        </w:rPr>
      </w:pPr>
      <w:r>
        <w:rPr>
          <w:rFonts w:hint="eastAsia" w:ascii="仿宋_GB2312" w:hAnsi="仿宋_GB2312" w:eastAsia="仿宋_GB2312" w:cs="仿宋_GB2312"/>
          <w:sz w:val="32"/>
        </w:rPr>
        <w:t>目前养护绿肺图</w:t>
      </w: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drawing>
          <wp:anchor distT="0" distB="0" distL="114300" distR="114300" simplePos="0" relativeHeight="251672576" behindDoc="0" locked="0" layoutInCell="1" allowOverlap="1">
            <wp:simplePos x="0" y="0"/>
            <wp:positionH relativeFrom="column">
              <wp:posOffset>3907155</wp:posOffset>
            </wp:positionH>
            <wp:positionV relativeFrom="paragraph">
              <wp:posOffset>329565</wp:posOffset>
            </wp:positionV>
            <wp:extent cx="1884045" cy="2506980"/>
            <wp:effectExtent l="19050" t="0" r="1905" b="0"/>
            <wp:wrapSquare wrapText="bothSides"/>
            <wp:docPr id="3" name="图片 16" descr="196909763579657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6" descr="196909763579657042"/>
                    <pic:cNvPicPr>
                      <a:picLocks noChangeAspect="1" noChangeArrowheads="1"/>
                    </pic:cNvPicPr>
                  </pic:nvPicPr>
                  <pic:blipFill>
                    <a:blip r:embed="rId13" cstate="print"/>
                    <a:srcRect/>
                    <a:stretch>
                      <a:fillRect/>
                    </a:stretch>
                  </pic:blipFill>
                  <pic:spPr>
                    <a:xfrm>
                      <a:off x="0" y="0"/>
                      <a:ext cx="1884045" cy="2506980"/>
                    </a:xfrm>
                    <a:prstGeom prst="rect">
                      <a:avLst/>
                    </a:prstGeom>
                    <a:noFill/>
                    <a:ln w="9525">
                      <a:noFill/>
                      <a:miter lim="800000"/>
                      <a:headEnd/>
                      <a:tailEnd/>
                    </a:ln>
                  </pic:spPr>
                </pic:pic>
              </a:graphicData>
            </a:graphic>
          </wp:anchor>
        </w:drawing>
      </w:r>
      <w:r>
        <w:rPr>
          <w:rFonts w:hint="eastAsia" w:ascii="仿宋_GB2312" w:hAnsi="仿宋_GB2312" w:eastAsia="仿宋_GB2312" w:cs="仿宋_GB2312"/>
          <w:sz w:val="24"/>
        </w:rPr>
        <w:t>一、西绿肺</w:t>
      </w:r>
    </w:p>
    <w:p>
      <w:pPr>
        <w:spacing w:line="360" w:lineRule="auto"/>
        <w:rPr>
          <w:rFonts w:ascii="仿宋_GB2312" w:hAnsi="仿宋_GB2312" w:eastAsia="仿宋_GB2312" w:cs="仿宋_GB2312"/>
          <w:sz w:val="24"/>
        </w:rPr>
      </w:pPr>
      <w:r>
        <w:rPr>
          <w:rFonts w:ascii="仿宋_GB2312" w:hAnsi="仿宋_GB2312" w:eastAsia="仿宋_GB2312" w:cs="仿宋_GB2312"/>
          <w:sz w:val="24"/>
        </w:rPr>
        <w:drawing>
          <wp:anchor distT="0" distB="0" distL="114300" distR="114300" simplePos="0" relativeHeight="251676672" behindDoc="1" locked="0" layoutInCell="1" allowOverlap="1">
            <wp:simplePos x="0" y="0"/>
            <wp:positionH relativeFrom="column">
              <wp:posOffset>238760</wp:posOffset>
            </wp:positionH>
            <wp:positionV relativeFrom="paragraph">
              <wp:posOffset>32385</wp:posOffset>
            </wp:positionV>
            <wp:extent cx="3415030" cy="2562225"/>
            <wp:effectExtent l="19050" t="0" r="0" b="0"/>
            <wp:wrapTight wrapText="bothSides">
              <wp:wrapPolygon>
                <wp:start x="-120" y="0"/>
                <wp:lineTo x="-120" y="21520"/>
                <wp:lineTo x="21568" y="21520"/>
                <wp:lineTo x="21568" y="0"/>
                <wp:lineTo x="-120" y="0"/>
              </wp:wrapPolygon>
            </wp:wrapTight>
            <wp:docPr id="7" name="图片 1" descr="C:\Users\ADMINI~1\AppData\Local\Temp\WeChat Files\48094cfe541d2d8948da29b11e015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C:\Users\ADMINI~1\AppData\Local\Temp\WeChat Files\48094cfe541d2d8948da29b11e015c5.jpg"/>
                    <pic:cNvPicPr>
                      <a:picLocks noChangeAspect="1" noChangeArrowheads="1"/>
                    </pic:cNvPicPr>
                  </pic:nvPicPr>
                  <pic:blipFill>
                    <a:blip r:embed="rId14" cstate="print"/>
                    <a:srcRect/>
                    <a:stretch>
                      <a:fillRect/>
                    </a:stretch>
                  </pic:blipFill>
                  <pic:spPr>
                    <a:xfrm>
                      <a:off x="0" y="0"/>
                      <a:ext cx="3415030" cy="2562225"/>
                    </a:xfrm>
                    <a:prstGeom prst="rect">
                      <a:avLst/>
                    </a:prstGeom>
                    <a:noFill/>
                    <a:ln w="9525">
                      <a:noFill/>
                      <a:miter lim="800000"/>
                      <a:headEnd/>
                      <a:tailEnd/>
                    </a:ln>
                  </pic:spPr>
                </pic:pic>
              </a:graphicData>
            </a:graphic>
          </wp:anchor>
        </w:drawing>
      </w: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r>
        <w:rPr>
          <w:rFonts w:ascii="仿宋_GB2312" w:hAnsi="仿宋_GB2312" w:eastAsia="仿宋_GB2312" w:cs="仿宋_GB2312"/>
          <w:sz w:val="24"/>
        </w:rPr>
        <w:drawing>
          <wp:anchor distT="0" distB="0" distL="114300" distR="114300" simplePos="0" relativeHeight="251673600" behindDoc="0" locked="0" layoutInCell="1" allowOverlap="1">
            <wp:simplePos x="0" y="0"/>
            <wp:positionH relativeFrom="column">
              <wp:posOffset>238760</wp:posOffset>
            </wp:positionH>
            <wp:positionV relativeFrom="paragraph">
              <wp:posOffset>154305</wp:posOffset>
            </wp:positionV>
            <wp:extent cx="3298190" cy="2477135"/>
            <wp:effectExtent l="19050" t="0" r="0" b="0"/>
            <wp:wrapSquare wrapText="bothSides"/>
            <wp:docPr id="4" name="图片 5" descr="358205109649183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358205109649183963"/>
                    <pic:cNvPicPr>
                      <a:picLocks noChangeAspect="1" noChangeArrowheads="1"/>
                    </pic:cNvPicPr>
                  </pic:nvPicPr>
                  <pic:blipFill>
                    <a:blip r:embed="rId15" cstate="print"/>
                    <a:srcRect/>
                    <a:stretch>
                      <a:fillRect/>
                    </a:stretch>
                  </pic:blipFill>
                  <pic:spPr>
                    <a:xfrm>
                      <a:off x="0" y="0"/>
                      <a:ext cx="3298190" cy="2477135"/>
                    </a:xfrm>
                    <a:prstGeom prst="rect">
                      <a:avLst/>
                    </a:prstGeom>
                    <a:noFill/>
                    <a:ln w="9525">
                      <a:noFill/>
                      <a:miter lim="800000"/>
                      <a:headEnd/>
                      <a:tailEnd/>
                    </a:ln>
                  </pic:spPr>
                </pic:pic>
              </a:graphicData>
            </a:graphic>
          </wp:anchor>
        </w:drawing>
      </w: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r>
        <w:rPr>
          <w:rFonts w:ascii="仿宋_GB2312" w:hAnsi="仿宋_GB2312" w:eastAsia="仿宋_GB2312" w:cs="仿宋_GB2312"/>
          <w:sz w:val="24"/>
        </w:rPr>
        <w:drawing>
          <wp:anchor distT="0" distB="0" distL="114300" distR="114300" simplePos="0" relativeHeight="251677696" behindDoc="0" locked="0" layoutInCell="1" allowOverlap="1">
            <wp:simplePos x="0" y="0"/>
            <wp:positionH relativeFrom="column">
              <wp:posOffset>174625</wp:posOffset>
            </wp:positionH>
            <wp:positionV relativeFrom="paragraph">
              <wp:posOffset>212090</wp:posOffset>
            </wp:positionV>
            <wp:extent cx="3343275" cy="2508885"/>
            <wp:effectExtent l="19050" t="0" r="9525" b="0"/>
            <wp:wrapSquare wrapText="bothSides"/>
            <wp:docPr id="5" name="图片 2" descr="C:\Users\ADMINI~1\AppData\Local\Temp\WeChat Files\ababec2418fe01f4213833531d29e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C:\Users\ADMINI~1\AppData\Local\Temp\WeChat Files\ababec2418fe01f4213833531d29ef4.jpg"/>
                    <pic:cNvPicPr>
                      <a:picLocks noChangeAspect="1" noChangeArrowheads="1"/>
                    </pic:cNvPicPr>
                  </pic:nvPicPr>
                  <pic:blipFill>
                    <a:blip r:embed="rId16" cstate="print"/>
                    <a:srcRect/>
                    <a:stretch>
                      <a:fillRect/>
                    </a:stretch>
                  </pic:blipFill>
                  <pic:spPr>
                    <a:xfrm>
                      <a:off x="0" y="0"/>
                      <a:ext cx="3343275" cy="2508885"/>
                    </a:xfrm>
                    <a:prstGeom prst="rect">
                      <a:avLst/>
                    </a:prstGeom>
                    <a:noFill/>
                    <a:ln w="9525">
                      <a:noFill/>
                      <a:miter lim="800000"/>
                      <a:headEnd/>
                      <a:tailEnd/>
                    </a:ln>
                  </pic:spPr>
                </pic:pic>
              </a:graphicData>
            </a:graphic>
          </wp:anchor>
        </w:drawing>
      </w: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二、东绿肺</w:t>
      </w:r>
    </w:p>
    <w:p>
      <w:pPr>
        <w:spacing w:line="360" w:lineRule="auto"/>
        <w:rPr>
          <w:rFonts w:ascii="仿宋_GB2312" w:hAnsi="仿宋_GB2312" w:eastAsia="仿宋_GB2312" w:cs="仿宋_GB2312"/>
          <w:sz w:val="24"/>
        </w:rPr>
      </w:pPr>
      <w:r>
        <w:rPr>
          <w:rFonts w:ascii="仿宋_GB2312" w:hAnsi="仿宋_GB2312" w:eastAsia="仿宋_GB2312" w:cs="仿宋_GB2312"/>
          <w:sz w:val="24"/>
        </w:rPr>
        <w:drawing>
          <wp:anchor distT="0" distB="0" distL="114300" distR="114300" simplePos="0" relativeHeight="251678720" behindDoc="0" locked="0" layoutInCell="1" allowOverlap="1">
            <wp:simplePos x="0" y="0"/>
            <wp:positionH relativeFrom="column">
              <wp:posOffset>-90805</wp:posOffset>
            </wp:positionH>
            <wp:positionV relativeFrom="paragraph">
              <wp:posOffset>184150</wp:posOffset>
            </wp:positionV>
            <wp:extent cx="3290570" cy="2466340"/>
            <wp:effectExtent l="19050" t="0" r="5080" b="0"/>
            <wp:wrapSquare wrapText="bothSides"/>
            <wp:docPr id="24" name="图片 5" descr="C:\Users\ADMINI~1\AppData\Local\Temp\WeChat Files\15f044c00a62bbafd46a52b19c9a7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descr="C:\Users\ADMINI~1\AppData\Local\Temp\WeChat Files\15f044c00a62bbafd46a52b19c9a749.jpg"/>
                    <pic:cNvPicPr>
                      <a:picLocks noChangeAspect="1" noChangeArrowheads="1"/>
                    </pic:cNvPicPr>
                  </pic:nvPicPr>
                  <pic:blipFill>
                    <a:blip r:embed="rId17" cstate="print"/>
                    <a:srcRect/>
                    <a:stretch>
                      <a:fillRect/>
                    </a:stretch>
                  </pic:blipFill>
                  <pic:spPr>
                    <a:xfrm>
                      <a:off x="0" y="0"/>
                      <a:ext cx="3290570" cy="2466340"/>
                    </a:xfrm>
                    <a:prstGeom prst="rect">
                      <a:avLst/>
                    </a:prstGeom>
                    <a:noFill/>
                    <a:ln w="9525">
                      <a:noFill/>
                      <a:miter lim="800000"/>
                      <a:headEnd/>
                      <a:tailEnd/>
                    </a:ln>
                  </pic:spPr>
                </pic:pic>
              </a:graphicData>
            </a:graphic>
          </wp:anchor>
        </w:drawing>
      </w:r>
    </w:p>
    <w:p>
      <w:pPr>
        <w:spacing w:line="360" w:lineRule="auto"/>
        <w:rPr>
          <w:rFonts w:ascii="仿宋_GB2312" w:hAnsi="仿宋_GB2312" w:eastAsia="仿宋_GB2312" w:cs="仿宋_GB2312"/>
          <w:sz w:val="24"/>
        </w:rPr>
      </w:pPr>
    </w:p>
    <w:p/>
    <w:p/>
    <w:p/>
    <w:p/>
    <w:p/>
    <w:p/>
    <w:p/>
    <w:p/>
    <w:p/>
    <w:p/>
    <w:p/>
    <w:p>
      <w:r>
        <w:rPr>
          <w:rFonts w:hint="eastAsia"/>
        </w:rPr>
        <w:drawing>
          <wp:anchor distT="0" distB="0" distL="114300" distR="114300" simplePos="0" relativeHeight="251679744" behindDoc="0" locked="0" layoutInCell="1" allowOverlap="1">
            <wp:simplePos x="0" y="0"/>
            <wp:positionH relativeFrom="column">
              <wp:posOffset>-90805</wp:posOffset>
            </wp:positionH>
            <wp:positionV relativeFrom="paragraph">
              <wp:posOffset>57785</wp:posOffset>
            </wp:positionV>
            <wp:extent cx="3202305" cy="2392045"/>
            <wp:effectExtent l="19050" t="0" r="0" b="0"/>
            <wp:wrapSquare wrapText="bothSides"/>
            <wp:docPr id="25" name="图片 6" descr="C:\Users\ADMINI~1\AppData\Local\Temp\WeChat Files\0a192b394b35e60bce13babd412d7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C:\Users\ADMINI~1\AppData\Local\Temp\WeChat Files\0a192b394b35e60bce13babd412d79a.jpg"/>
                    <pic:cNvPicPr>
                      <a:picLocks noChangeAspect="1" noChangeArrowheads="1"/>
                    </pic:cNvPicPr>
                  </pic:nvPicPr>
                  <pic:blipFill>
                    <a:blip r:embed="rId18" cstate="print"/>
                    <a:srcRect/>
                    <a:stretch>
                      <a:fillRect/>
                    </a:stretch>
                  </pic:blipFill>
                  <pic:spPr>
                    <a:xfrm>
                      <a:off x="0" y="0"/>
                      <a:ext cx="3202305" cy="2392045"/>
                    </a:xfrm>
                    <a:prstGeom prst="rect">
                      <a:avLst/>
                    </a:prstGeom>
                    <a:noFill/>
                    <a:ln w="9525">
                      <a:noFill/>
                      <a:miter lim="800000"/>
                      <a:headEnd/>
                      <a:tailEnd/>
                    </a:ln>
                  </pic:spPr>
                </pic:pic>
              </a:graphicData>
            </a:graphic>
          </wp:anchor>
        </w:drawing>
      </w:r>
    </w:p>
    <w:p/>
    <w:p/>
    <w:p/>
    <w:p/>
    <w:p/>
    <w:p/>
    <w:p/>
    <w:p/>
    <w:p/>
    <w:p/>
    <w:p/>
    <w:p/>
    <w:p>
      <w:r>
        <w:rPr>
          <w:rFonts w:hint="eastAsia"/>
        </w:rPr>
        <w:drawing>
          <wp:anchor distT="0" distB="0" distL="114300" distR="114300" simplePos="0" relativeHeight="251680768" behindDoc="1" locked="0" layoutInCell="1" allowOverlap="1">
            <wp:simplePos x="0" y="0"/>
            <wp:positionH relativeFrom="column">
              <wp:posOffset>-38100</wp:posOffset>
            </wp:positionH>
            <wp:positionV relativeFrom="paragraph">
              <wp:posOffset>108585</wp:posOffset>
            </wp:positionV>
            <wp:extent cx="2308860" cy="3093720"/>
            <wp:effectExtent l="19050" t="0" r="0" b="0"/>
            <wp:wrapTight wrapText="bothSides">
              <wp:wrapPolygon>
                <wp:start x="-178" y="0"/>
                <wp:lineTo x="-178" y="21414"/>
                <wp:lineTo x="21564" y="21414"/>
                <wp:lineTo x="21564" y="0"/>
                <wp:lineTo x="-178" y="0"/>
              </wp:wrapPolygon>
            </wp:wrapTight>
            <wp:docPr id="26" name="图片 7" descr="C:\Users\ADMINI~1\AppData\Local\Temp\WeChat Files\91135151669978f349dbc68615d8f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descr="C:\Users\ADMINI~1\AppData\Local\Temp\WeChat Files\91135151669978f349dbc68615d8f97.jpg"/>
                    <pic:cNvPicPr>
                      <a:picLocks noChangeAspect="1" noChangeArrowheads="1"/>
                    </pic:cNvPicPr>
                  </pic:nvPicPr>
                  <pic:blipFill>
                    <a:blip r:embed="rId19" cstate="print"/>
                    <a:srcRect/>
                    <a:stretch>
                      <a:fillRect/>
                    </a:stretch>
                  </pic:blipFill>
                  <pic:spPr>
                    <a:xfrm>
                      <a:off x="0" y="0"/>
                      <a:ext cx="2308860" cy="3093720"/>
                    </a:xfrm>
                    <a:prstGeom prst="rect">
                      <a:avLst/>
                    </a:prstGeom>
                    <a:noFill/>
                    <a:ln w="9525">
                      <a:noFill/>
                      <a:miter lim="800000"/>
                      <a:headEnd/>
                      <a:tailEnd/>
                    </a:ln>
                  </pic:spPr>
                </pic:pic>
              </a:graphicData>
            </a:graphic>
          </wp:anchor>
        </w:drawing>
      </w:r>
    </w:p>
    <w:p/>
    <w:p/>
    <w:p/>
    <w:p/>
    <w:p/>
    <w:p/>
    <w:p/>
    <w:p/>
    <w:p/>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pStyle w:val="2"/>
        <w:spacing w:line="360" w:lineRule="auto"/>
        <w:rPr>
          <w:rFonts w:ascii="仿宋" w:hAnsi="仿宋" w:eastAsia="仿宋"/>
        </w:rPr>
      </w:pPr>
      <w:bookmarkStart w:id="14" w:name="_Toc2950394"/>
      <w:r>
        <w:rPr>
          <w:rFonts w:hint="eastAsia" w:ascii="仿宋" w:hAnsi="仿宋" w:eastAsia="仿宋"/>
        </w:rPr>
        <w:t>第三章 投标人须知</w:t>
      </w:r>
      <w:bookmarkEnd w:id="14"/>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5" w:name="_Toc2950395"/>
      <w:r>
        <w:rPr>
          <w:rFonts w:hint="eastAsia" w:ascii="仿宋" w:hAnsi="仿宋" w:eastAsia="仿宋"/>
          <w:sz w:val="28"/>
          <w:szCs w:val="28"/>
        </w:rPr>
        <w:t>一、供应商资格要求</w:t>
      </w:r>
      <w:bookmarkEnd w:id="15"/>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（一）供应商应符合《中华人民共和国政府采购法》第二十二条规定的条件；</w:t>
      </w:r>
    </w:p>
    <w:p>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（二）</w:t>
      </w:r>
      <w:r>
        <w:rPr>
          <w:rFonts w:hint="eastAsia" w:ascii="仿宋" w:hAnsi="仿宋" w:eastAsia="仿宋"/>
          <w:color w:val="000000"/>
          <w:sz w:val="28"/>
          <w:szCs w:val="28"/>
        </w:rPr>
        <w:t>具有绿植、花卉销售及养护等相关营业资质。</w:t>
      </w:r>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6" w:name="_Toc2950396"/>
      <w:r>
        <w:rPr>
          <w:rFonts w:hint="eastAsia" w:ascii="仿宋" w:hAnsi="仿宋" w:eastAsia="仿宋"/>
          <w:sz w:val="28"/>
          <w:szCs w:val="28"/>
        </w:rPr>
        <w:t>二、响应文件的构成</w:t>
      </w:r>
      <w:bookmarkEnd w:id="16"/>
    </w:p>
    <w:p>
      <w:pPr>
        <w:pStyle w:val="4"/>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5、投标人情况介绍，包括办公场所、机构设置、技术力量、服务能力、质量管理等</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（1）投标人营业执照副本（三证合一）、开户许可证等</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（2）行业主管部门或相关部门颁发的（获奖）证书</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（3）供应商须在投标文件中提供企业工商注册所在地或项目所在地检察机关出具的《检察机关行贿犯罪档案查询结果告知函》（在有效期范围内）</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（4）具有大型花卉租摆服务相关合同或协议</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（5）其他有利于投标的投标人的证明文件</w:t>
      </w:r>
    </w:p>
    <w:p>
      <w:pPr>
        <w:spacing w:line="360" w:lineRule="auto"/>
        <w:ind w:right="114"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以上响应文件需递交正本1份，副本5份，PDF格式电子文档1份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000000"/>
          <w:sz w:val="28"/>
          <w:szCs w:val="28"/>
        </w:rPr>
        <w:t>响应文件及资料无论供应商是否中标均不予退还。</w:t>
      </w:r>
    </w:p>
    <w:p>
      <w:pPr>
        <w:pStyle w:val="3"/>
        <w:spacing w:line="360" w:lineRule="auto"/>
        <w:ind w:firstLine="562" w:firstLineChars="200"/>
        <w:rPr>
          <w:rFonts w:ascii="仿宋" w:hAnsi="仿宋" w:eastAsia="仿宋"/>
          <w:sz w:val="28"/>
        </w:rPr>
      </w:pPr>
      <w:bookmarkStart w:id="17" w:name="_Toc2950397"/>
      <w:r>
        <w:rPr>
          <w:rFonts w:hint="eastAsia" w:ascii="仿宋" w:hAnsi="仿宋" w:eastAsia="仿宋"/>
          <w:sz w:val="28"/>
        </w:rPr>
        <w:t>三、评标与中标</w:t>
      </w:r>
      <w:bookmarkEnd w:id="17"/>
    </w:p>
    <w:p>
      <w:pPr>
        <w:pStyle w:val="4"/>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4、根据谈判内容详细审查并评判；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5、根据整体情况推荐并确定中标候选人。</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（二）谈判与评标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谈判。响应文件不符合采购文件要求的，磋商小组集体协商决定处置情况，可允许供应商进行更正补救或取消该供应商谈判资格。</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谈判小组对响应文件响应情况、报价比例、企业资质与业绩、执行合同能力等方面进行全面比较与评价，了解和掌握各实质性响应供应商的响应程度，进行项目谈判准备。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通过供应商先后按时到场顺序确定参加谈判供应商的谈判顺序，所有谈判小组成员集体与每位供应商分别进行单独谈判，谈判轮次由小组成员视情况而定。</w:t>
      </w:r>
    </w:p>
    <w:p>
      <w:pPr>
        <w:pStyle w:val="4"/>
        <w:numPr>
          <w:ilvl w:val="0"/>
          <w:numId w:val="1"/>
        </w:num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adjustRightInd w:val="0"/>
        <w:snapToGrid w:val="0"/>
        <w:spacing w:line="360"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采用百分制</w:t>
      </w:r>
      <w:r>
        <w:rPr>
          <w:rFonts w:ascii="仿宋" w:hAnsi="仿宋" w:eastAsia="仿宋"/>
          <w:b/>
          <w:bCs/>
          <w:color w:val="000000"/>
          <w:kern w:val="0"/>
          <w:sz w:val="28"/>
          <w:szCs w:val="28"/>
          <w:u w:val="single"/>
        </w:rPr>
        <w:t>综合</w:t>
      </w:r>
      <w:r>
        <w:rPr>
          <w:rFonts w:hint="eastAsia" w:ascii="仿宋" w:hAnsi="仿宋" w:eastAsia="仿宋"/>
          <w:b/>
          <w:bCs/>
          <w:color w:val="000000"/>
          <w:kern w:val="0"/>
          <w:sz w:val="28"/>
          <w:szCs w:val="28"/>
          <w:u w:val="single"/>
        </w:rPr>
        <w:t>评估</w:t>
      </w:r>
      <w:r>
        <w:rPr>
          <w:rFonts w:ascii="仿宋" w:hAnsi="仿宋" w:eastAsia="仿宋"/>
          <w:b/>
          <w:bCs/>
          <w:color w:val="000000"/>
          <w:kern w:val="0"/>
          <w:sz w:val="28"/>
          <w:szCs w:val="28"/>
          <w:u w:val="single"/>
        </w:rPr>
        <w:t>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，其中价格占总分50%，投标人标书规范程度、响应程度、服务质量、施工方案、服务业绩、公司资质等商业部分及技术部分占总分50%，综合考虑推荐最佳优秀中标人。。</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（1）在满足竞争性磋商文件全部内容的基础上，谈判小组按照综合评估法，评审专家根据实际需求进行最优商家选取并进行推荐，获得最多票数商家为中标候选人。票数相同时，业绩多者优先。</w:t>
      </w:r>
    </w:p>
    <w:p>
      <w:pPr>
        <w:pStyle w:val="4"/>
        <w:spacing w:line="360" w:lineRule="auto"/>
        <w:ind w:firstLine="619"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4"/>
        <w:spacing w:line="360" w:lineRule="auto"/>
        <w:ind w:firstLine="619" w:firstLineChars="221"/>
        <w:rPr>
          <w:rFonts w:ascii="仿宋" w:hAnsi="仿宋" w:eastAsia="仿宋"/>
          <w:color w:val="000000"/>
          <w:sz w:val="28"/>
          <w:szCs w:val="28"/>
        </w:rPr>
      </w:pPr>
    </w:p>
    <w:p>
      <w:pPr>
        <w:pStyle w:val="2"/>
        <w:spacing w:line="360" w:lineRule="auto"/>
        <w:rPr>
          <w:rFonts w:ascii="仿宋" w:hAnsi="仿宋" w:eastAsia="仿宋"/>
        </w:rPr>
      </w:pPr>
      <w:bookmarkStart w:id="18" w:name="_Toc2950398"/>
      <w:r>
        <w:rPr>
          <w:rFonts w:hint="eastAsia" w:ascii="仿宋" w:hAnsi="仿宋" w:eastAsia="仿宋"/>
        </w:rPr>
        <w:t>第四章 响应文件格式与要求</w:t>
      </w:r>
      <w:bookmarkEnd w:id="18"/>
    </w:p>
    <w:p>
      <w:pPr>
        <w:pStyle w:val="3"/>
        <w:ind w:firstLine="562" w:firstLineChars="200"/>
        <w:rPr>
          <w:rFonts w:ascii="仿宋" w:hAnsi="仿宋" w:eastAsia="仿宋"/>
          <w:sz w:val="28"/>
        </w:rPr>
      </w:pPr>
      <w:bookmarkStart w:id="19" w:name="_Toc2950399"/>
      <w:bookmarkStart w:id="20" w:name="_Toc2950276"/>
      <w:r>
        <w:rPr>
          <w:rFonts w:hint="eastAsia" w:ascii="仿宋" w:hAnsi="仿宋" w:eastAsia="仿宋"/>
          <w:sz w:val="28"/>
        </w:rPr>
        <w:t>格式一：</w:t>
      </w:r>
      <w:bookmarkEnd w:id="19"/>
      <w:bookmarkEnd w:id="20"/>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竞争性磋商响应文件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21" w:name="_Toc2950277"/>
      <w:bookmarkStart w:id="22" w:name="_Toc2950400"/>
      <w:r>
        <w:rPr>
          <w:rFonts w:hint="eastAsia" w:ascii="仿宋" w:hAnsi="仿宋" w:eastAsia="仿宋"/>
        </w:rPr>
        <w:t>格式二：</w:t>
      </w:r>
      <w:bookmarkEnd w:id="21"/>
      <w:bookmarkEnd w:id="22"/>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rPr>
          <w:rFonts w:ascii="仿宋" w:hAnsi="仿宋" w:eastAsia="仿宋"/>
          <w:sz w:val="44"/>
          <w:szCs w:val="44"/>
        </w:rPr>
      </w:pPr>
    </w:p>
    <w:p>
      <w:pPr>
        <w:pStyle w:val="3"/>
        <w:rPr>
          <w:rFonts w:ascii="仿宋" w:hAnsi="仿宋" w:eastAsia="仿宋"/>
        </w:rPr>
      </w:pPr>
      <w:bookmarkStart w:id="23" w:name="_Toc2950401"/>
      <w:bookmarkStart w:id="24" w:name="_Toc2950278"/>
      <w:r>
        <w:rPr>
          <w:rFonts w:hint="eastAsia" w:ascii="仿宋" w:hAnsi="仿宋" w:eastAsia="仿宋"/>
        </w:rPr>
        <w:t>格式三</w:t>
      </w:r>
      <w:bookmarkEnd w:id="23"/>
      <w:bookmarkEnd w:id="24"/>
    </w:p>
    <w:p>
      <w:pP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6"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仿宋" w:hAnsi="仿宋" w:eastAsia="仿宋"/>
        </w:rPr>
      </w:pPr>
      <w:bookmarkStart w:id="25" w:name="_Toc2950279"/>
      <w:bookmarkStart w:id="26" w:name="_Toc2950402"/>
      <w:r>
        <w:rPr>
          <w:rFonts w:hint="eastAsia" w:ascii="仿宋" w:hAnsi="仿宋" w:eastAsia="仿宋"/>
        </w:rPr>
        <w:t>格式四</w:t>
      </w:r>
      <w:bookmarkEnd w:id="25"/>
      <w:bookmarkEnd w:id="26"/>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1034" o:spt="202" type="#_x0000_t202" style="position:absolute;left:0pt;margin-left:270pt;margin-top:9.6pt;height:150pt;width:198pt;z-index:251661312;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1033" o:spt="202" type="#_x0000_t202" style="position:absolute;left:0pt;margin-left:-9pt;margin-top:8.6pt;height:150pt;width:207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pacing w:line="450" w:lineRule="exact"/>
        <w:ind w:firstLine="56" w:firstLineChars="20"/>
        <w:rPr>
          <w:rFonts w:ascii="仿宋" w:hAnsi="仿宋" w:eastAsia="仿宋"/>
          <w:sz w:val="28"/>
          <w:szCs w:val="28"/>
        </w:rPr>
      </w:pPr>
    </w:p>
    <w:p>
      <w:pPr>
        <w:rPr>
          <w:rFonts w:ascii="仿宋" w:hAnsi="仿宋" w:eastAsia="仿宋"/>
          <w:sz w:val="28"/>
          <w:szCs w:val="28"/>
        </w:rPr>
      </w:pPr>
    </w:p>
    <w:p>
      <w:pPr>
        <w:pStyle w:val="3"/>
        <w:rPr>
          <w:rFonts w:ascii="仿宋" w:hAnsi="仿宋" w:eastAsia="仿宋"/>
        </w:rPr>
      </w:pPr>
      <w:bookmarkStart w:id="27" w:name="_Toc2950280"/>
      <w:bookmarkStart w:id="28" w:name="_Toc2950403"/>
      <w:r>
        <w:rPr>
          <w:rFonts w:hint="eastAsia" w:ascii="仿宋" w:hAnsi="仿宋" w:eastAsia="仿宋"/>
        </w:rPr>
        <w:t>格式五</w:t>
      </w:r>
      <w:bookmarkEnd w:id="27"/>
      <w:bookmarkEnd w:id="28"/>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tbl>
      <w:tblPr>
        <w:tblStyle w:val="14"/>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66"/>
        <w:gridCol w:w="1403"/>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2566" w:type="dxa"/>
            <w:vAlign w:val="center"/>
          </w:tcPr>
          <w:p>
            <w:pPr>
              <w:jc w:val="center"/>
              <w:rPr>
                <w:rFonts w:ascii="仿宋" w:hAnsi="仿宋" w:eastAsia="仿宋"/>
                <w:b/>
                <w:sz w:val="28"/>
                <w:szCs w:val="28"/>
              </w:rPr>
            </w:pPr>
            <w:r>
              <w:rPr>
                <w:rFonts w:hint="eastAsia" w:ascii="仿宋" w:hAnsi="仿宋" w:eastAsia="仿宋"/>
                <w:b/>
                <w:sz w:val="28"/>
                <w:szCs w:val="28"/>
              </w:rPr>
              <w:t>服务项目名称</w:t>
            </w:r>
          </w:p>
        </w:tc>
        <w:tc>
          <w:tcPr>
            <w:tcW w:w="1403" w:type="dxa"/>
            <w:vAlign w:val="center"/>
          </w:tcPr>
          <w:p>
            <w:pPr>
              <w:jc w:val="center"/>
              <w:rPr>
                <w:rFonts w:ascii="仿宋" w:hAnsi="仿宋" w:eastAsia="仿宋"/>
                <w:b/>
                <w:sz w:val="28"/>
                <w:szCs w:val="28"/>
              </w:rPr>
            </w:pPr>
            <w:r>
              <w:rPr>
                <w:rFonts w:hint="eastAsia" w:ascii="仿宋" w:hAnsi="仿宋" w:eastAsia="仿宋"/>
                <w:b/>
                <w:sz w:val="28"/>
                <w:szCs w:val="28"/>
              </w:rPr>
              <w:t>人员配备数量</w:t>
            </w:r>
          </w:p>
        </w:tc>
        <w:tc>
          <w:tcPr>
            <w:tcW w:w="1701"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例如：绿植租摆</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绿植养护</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人工成本</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cs="宋体"/>
                <w:bCs/>
                <w:color w:val="000000" w:themeColor="text1"/>
                <w:kern w:val="0"/>
                <w:sz w:val="28"/>
              </w:rPr>
            </w:pPr>
            <w:r>
              <w:rPr>
                <w:rFonts w:hint="eastAsia" w:ascii="仿宋" w:hAnsi="仿宋" w:eastAsia="仿宋" w:cs="宋体"/>
                <w:bCs/>
                <w:color w:val="000000" w:themeColor="text1"/>
                <w:kern w:val="0"/>
                <w:sz w:val="28"/>
              </w:rPr>
              <w:t>加拿利海枣、</w:t>
            </w:r>
          </w:p>
          <w:p>
            <w:pPr>
              <w:jc w:val="center"/>
              <w:rPr>
                <w:rFonts w:ascii="仿宋" w:hAnsi="仿宋" w:eastAsia="仿宋"/>
                <w:sz w:val="28"/>
                <w:szCs w:val="28"/>
              </w:rPr>
            </w:pPr>
            <w:r>
              <w:rPr>
                <w:rFonts w:hint="eastAsia" w:ascii="仿宋" w:hAnsi="仿宋" w:eastAsia="仿宋" w:cs="宋体"/>
                <w:bCs/>
                <w:color w:val="000000" w:themeColor="text1"/>
                <w:kern w:val="0"/>
                <w:sz w:val="28"/>
              </w:rPr>
              <w:t>酒瓶椰子</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花盆费用</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其他服务费用</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r>
              <w:rPr>
                <w:rFonts w:hint="eastAsia" w:ascii="仿宋" w:hAnsi="仿宋" w:eastAsia="仿宋"/>
                <w:sz w:val="28"/>
                <w:szCs w:val="28"/>
              </w:rPr>
              <w:t>税费</w:t>
            </w: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highlight w:val="yellow"/>
              </w:rPr>
            </w:pPr>
          </w:p>
        </w:tc>
        <w:tc>
          <w:tcPr>
            <w:tcW w:w="1403" w:type="dxa"/>
            <w:vAlign w:val="center"/>
          </w:tcPr>
          <w:p>
            <w:pPr>
              <w:jc w:val="center"/>
              <w:rPr>
                <w:rFonts w:ascii="仿宋" w:hAnsi="仿宋" w:eastAsia="仿宋"/>
                <w:sz w:val="28"/>
                <w:szCs w:val="28"/>
                <w:highlight w:val="yellow"/>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66" w:type="dxa"/>
            <w:vAlign w:val="center"/>
          </w:tcPr>
          <w:p>
            <w:pPr>
              <w:jc w:val="center"/>
              <w:rPr>
                <w:rFonts w:ascii="仿宋" w:hAnsi="仿宋" w:eastAsia="仿宋"/>
                <w:sz w:val="28"/>
                <w:szCs w:val="28"/>
              </w:rPr>
            </w:pPr>
          </w:p>
        </w:tc>
        <w:tc>
          <w:tcPr>
            <w:tcW w:w="1403"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bl>
    <w:p>
      <w:pP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说明：服务内容及人员配备尽可能详细列出。</w:t>
      </w:r>
    </w:p>
    <w:p>
      <w:pPr>
        <w:pStyle w:val="3"/>
        <w:rPr>
          <w:rFonts w:ascii="仿宋" w:hAnsi="仿宋" w:eastAsia="仿宋"/>
        </w:rPr>
      </w:pPr>
      <w:bookmarkStart w:id="29" w:name="_Toc359315317"/>
      <w:bookmarkStart w:id="30" w:name="_Toc2950281"/>
      <w:bookmarkStart w:id="31" w:name="_Toc2950404"/>
      <w:r>
        <w:rPr>
          <w:rFonts w:hint="eastAsia" w:ascii="仿宋" w:hAnsi="仿宋" w:eastAsia="仿宋"/>
        </w:rPr>
        <w:t>格式六：</w:t>
      </w:r>
      <w:bookmarkEnd w:id="29"/>
      <w:bookmarkEnd w:id="30"/>
      <w:bookmarkEnd w:id="31"/>
    </w:p>
    <w:p>
      <w:pPr>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注:投标人需要注明实施方案及工期。</w:t>
      </w:r>
    </w:p>
    <w:p>
      <w:pPr>
        <w:pStyle w:val="3"/>
        <w:rPr>
          <w:rFonts w:ascii="仿宋" w:hAnsi="仿宋" w:eastAsia="仿宋"/>
        </w:rPr>
      </w:pPr>
      <w:bookmarkStart w:id="32" w:name="_Toc2950282"/>
      <w:bookmarkStart w:id="33" w:name="_Toc2950405"/>
      <w:r>
        <w:rPr>
          <w:rFonts w:hint="eastAsia" w:ascii="仿宋" w:hAnsi="仿宋" w:eastAsia="仿宋"/>
        </w:rPr>
        <w:t>格式七：</w:t>
      </w:r>
      <w:bookmarkEnd w:id="32"/>
      <w:bookmarkEnd w:id="33"/>
    </w:p>
    <w:p>
      <w:pPr>
        <w:autoSpaceDE w:val="0"/>
        <w:autoSpaceDN w:val="0"/>
        <w:spacing w:line="460" w:lineRule="exact"/>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供应商须在投标文件中提供企业工商注册所在地或项目所在地检察机关出具的《检察机关行贿犯罪档案查询结果告知函》（在有效期范围内）</w:t>
      </w:r>
    </w:p>
    <w:p>
      <w:pPr>
        <w:pStyle w:val="3"/>
        <w:rPr>
          <w:rFonts w:ascii="仿宋" w:hAnsi="仿宋" w:eastAsia="仿宋"/>
        </w:rPr>
      </w:pPr>
      <w:bookmarkStart w:id="34" w:name="_Toc2950406"/>
      <w:bookmarkStart w:id="35" w:name="_Toc2950283"/>
      <w:r>
        <w:rPr>
          <w:rFonts w:hint="eastAsia" w:ascii="仿宋" w:hAnsi="仿宋" w:eastAsia="仿宋"/>
        </w:rPr>
        <w:t>格式八：</w:t>
      </w:r>
      <w:bookmarkEnd w:id="34"/>
      <w:bookmarkEnd w:id="35"/>
      <w:r>
        <w:rPr>
          <w:rFonts w:ascii="仿宋" w:hAnsi="仿宋" w:eastAsia="仿宋"/>
        </w:rPr>
        <w:t xml:space="preserve"> </w:t>
      </w:r>
    </w:p>
    <w:p>
      <w:pPr>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具有大型绿植租摆服务项目证明材料，其他相关证明材料。</w:t>
      </w: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szCs w:val="28"/>
        </w:rPr>
      </w:pPr>
    </w:p>
    <w:sectPr>
      <w:footerReference r:id="rId3"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rPr>
        <w:lang w:val="zh-CN"/>
      </w:rPr>
      <w:t>2</w:t>
    </w:r>
    <w:r>
      <w:rPr>
        <w:lang w:val="zh-CN"/>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A20D13"/>
    <w:rsid w:val="00000024"/>
    <w:rsid w:val="00001FF8"/>
    <w:rsid w:val="000035BE"/>
    <w:rsid w:val="0000367D"/>
    <w:rsid w:val="00003984"/>
    <w:rsid w:val="00006A1C"/>
    <w:rsid w:val="00007706"/>
    <w:rsid w:val="00007966"/>
    <w:rsid w:val="00016A2F"/>
    <w:rsid w:val="00016C74"/>
    <w:rsid w:val="00023047"/>
    <w:rsid w:val="000244D2"/>
    <w:rsid w:val="0002577C"/>
    <w:rsid w:val="00026C40"/>
    <w:rsid w:val="00040A90"/>
    <w:rsid w:val="00041B43"/>
    <w:rsid w:val="00045395"/>
    <w:rsid w:val="00046265"/>
    <w:rsid w:val="00047612"/>
    <w:rsid w:val="00047661"/>
    <w:rsid w:val="00050E06"/>
    <w:rsid w:val="000516AF"/>
    <w:rsid w:val="000538B2"/>
    <w:rsid w:val="0007090C"/>
    <w:rsid w:val="0007185C"/>
    <w:rsid w:val="00071FE6"/>
    <w:rsid w:val="0007357F"/>
    <w:rsid w:val="00077D80"/>
    <w:rsid w:val="00080461"/>
    <w:rsid w:val="00092B40"/>
    <w:rsid w:val="0009419A"/>
    <w:rsid w:val="000A00F3"/>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16C66"/>
    <w:rsid w:val="0011741B"/>
    <w:rsid w:val="00126C01"/>
    <w:rsid w:val="00126ED8"/>
    <w:rsid w:val="001312B2"/>
    <w:rsid w:val="001353EA"/>
    <w:rsid w:val="00141CE7"/>
    <w:rsid w:val="00142433"/>
    <w:rsid w:val="00143A9D"/>
    <w:rsid w:val="00143D24"/>
    <w:rsid w:val="001459E1"/>
    <w:rsid w:val="001516AB"/>
    <w:rsid w:val="00153F5D"/>
    <w:rsid w:val="001568D3"/>
    <w:rsid w:val="0016070C"/>
    <w:rsid w:val="00160EED"/>
    <w:rsid w:val="0016454E"/>
    <w:rsid w:val="0016456F"/>
    <w:rsid w:val="00165FE5"/>
    <w:rsid w:val="0017066D"/>
    <w:rsid w:val="00170AE4"/>
    <w:rsid w:val="00174182"/>
    <w:rsid w:val="00176D82"/>
    <w:rsid w:val="00177FCC"/>
    <w:rsid w:val="0018038B"/>
    <w:rsid w:val="001A18B1"/>
    <w:rsid w:val="001A2D39"/>
    <w:rsid w:val="001B2303"/>
    <w:rsid w:val="001B5F23"/>
    <w:rsid w:val="001C4D46"/>
    <w:rsid w:val="001C4EDD"/>
    <w:rsid w:val="001C5422"/>
    <w:rsid w:val="001C5F3D"/>
    <w:rsid w:val="001C6343"/>
    <w:rsid w:val="001C6935"/>
    <w:rsid w:val="001C73B4"/>
    <w:rsid w:val="001D4855"/>
    <w:rsid w:val="001E7F3D"/>
    <w:rsid w:val="001F372B"/>
    <w:rsid w:val="001F40EE"/>
    <w:rsid w:val="001F79D8"/>
    <w:rsid w:val="002172B3"/>
    <w:rsid w:val="00217A85"/>
    <w:rsid w:val="00217FB3"/>
    <w:rsid w:val="00222254"/>
    <w:rsid w:val="0022308E"/>
    <w:rsid w:val="00223667"/>
    <w:rsid w:val="00225508"/>
    <w:rsid w:val="0022692A"/>
    <w:rsid w:val="002272FD"/>
    <w:rsid w:val="0023075E"/>
    <w:rsid w:val="0023410F"/>
    <w:rsid w:val="002348C8"/>
    <w:rsid w:val="002360C6"/>
    <w:rsid w:val="00243EE3"/>
    <w:rsid w:val="00251D44"/>
    <w:rsid w:val="0025210A"/>
    <w:rsid w:val="002553FC"/>
    <w:rsid w:val="002557F9"/>
    <w:rsid w:val="0026004A"/>
    <w:rsid w:val="0026485C"/>
    <w:rsid w:val="002667F3"/>
    <w:rsid w:val="00270703"/>
    <w:rsid w:val="00271C12"/>
    <w:rsid w:val="0027547E"/>
    <w:rsid w:val="00275C40"/>
    <w:rsid w:val="00275FDE"/>
    <w:rsid w:val="002861E4"/>
    <w:rsid w:val="00286C22"/>
    <w:rsid w:val="002926E0"/>
    <w:rsid w:val="002A01BA"/>
    <w:rsid w:val="002A071B"/>
    <w:rsid w:val="002A595A"/>
    <w:rsid w:val="002A79E9"/>
    <w:rsid w:val="002B506F"/>
    <w:rsid w:val="002B62FA"/>
    <w:rsid w:val="002C5287"/>
    <w:rsid w:val="002D011A"/>
    <w:rsid w:val="002D286E"/>
    <w:rsid w:val="002D588E"/>
    <w:rsid w:val="002D6456"/>
    <w:rsid w:val="002E69D4"/>
    <w:rsid w:val="002F1FFD"/>
    <w:rsid w:val="002F65F9"/>
    <w:rsid w:val="002F6744"/>
    <w:rsid w:val="002F7AEE"/>
    <w:rsid w:val="003015FF"/>
    <w:rsid w:val="003034F6"/>
    <w:rsid w:val="003039E2"/>
    <w:rsid w:val="00305178"/>
    <w:rsid w:val="0031237D"/>
    <w:rsid w:val="00314E01"/>
    <w:rsid w:val="00314E68"/>
    <w:rsid w:val="00316652"/>
    <w:rsid w:val="00320CC7"/>
    <w:rsid w:val="00321F9B"/>
    <w:rsid w:val="00331B68"/>
    <w:rsid w:val="003325AE"/>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85254"/>
    <w:rsid w:val="00397B55"/>
    <w:rsid w:val="003A0588"/>
    <w:rsid w:val="003A1A96"/>
    <w:rsid w:val="003A1FF8"/>
    <w:rsid w:val="003A7F82"/>
    <w:rsid w:val="003B27F8"/>
    <w:rsid w:val="003B2EAE"/>
    <w:rsid w:val="003B584E"/>
    <w:rsid w:val="003B75E8"/>
    <w:rsid w:val="003C0FD3"/>
    <w:rsid w:val="003C442B"/>
    <w:rsid w:val="003D757E"/>
    <w:rsid w:val="003E4A6B"/>
    <w:rsid w:val="003F0279"/>
    <w:rsid w:val="00403E50"/>
    <w:rsid w:val="00404665"/>
    <w:rsid w:val="00404CB1"/>
    <w:rsid w:val="0040751F"/>
    <w:rsid w:val="00412FCF"/>
    <w:rsid w:val="004168D2"/>
    <w:rsid w:val="00416E50"/>
    <w:rsid w:val="00426424"/>
    <w:rsid w:val="00426C4A"/>
    <w:rsid w:val="00430EF4"/>
    <w:rsid w:val="00431AE8"/>
    <w:rsid w:val="00432121"/>
    <w:rsid w:val="00436185"/>
    <w:rsid w:val="00440DEE"/>
    <w:rsid w:val="00445F3E"/>
    <w:rsid w:val="00455479"/>
    <w:rsid w:val="00455FE1"/>
    <w:rsid w:val="004610A7"/>
    <w:rsid w:val="0046766B"/>
    <w:rsid w:val="00477AC1"/>
    <w:rsid w:val="00483CAC"/>
    <w:rsid w:val="004906FE"/>
    <w:rsid w:val="004959D3"/>
    <w:rsid w:val="004A143A"/>
    <w:rsid w:val="004A4482"/>
    <w:rsid w:val="004A7C1E"/>
    <w:rsid w:val="004B2D51"/>
    <w:rsid w:val="004B53D3"/>
    <w:rsid w:val="004B55D3"/>
    <w:rsid w:val="004C34C0"/>
    <w:rsid w:val="004C3C79"/>
    <w:rsid w:val="004D1ADF"/>
    <w:rsid w:val="004D2991"/>
    <w:rsid w:val="004D678C"/>
    <w:rsid w:val="004E28E5"/>
    <w:rsid w:val="004E5053"/>
    <w:rsid w:val="004E71AA"/>
    <w:rsid w:val="004E7DD9"/>
    <w:rsid w:val="004F586D"/>
    <w:rsid w:val="00501348"/>
    <w:rsid w:val="0050437A"/>
    <w:rsid w:val="00506F53"/>
    <w:rsid w:val="00507E70"/>
    <w:rsid w:val="0051070D"/>
    <w:rsid w:val="005114D5"/>
    <w:rsid w:val="005154D8"/>
    <w:rsid w:val="00517A55"/>
    <w:rsid w:val="005240C3"/>
    <w:rsid w:val="005259E2"/>
    <w:rsid w:val="0052690E"/>
    <w:rsid w:val="0053397C"/>
    <w:rsid w:val="00535034"/>
    <w:rsid w:val="00540697"/>
    <w:rsid w:val="00547D14"/>
    <w:rsid w:val="00550C59"/>
    <w:rsid w:val="00551B97"/>
    <w:rsid w:val="00552051"/>
    <w:rsid w:val="00552FFF"/>
    <w:rsid w:val="00553C05"/>
    <w:rsid w:val="00555DCE"/>
    <w:rsid w:val="00555EFF"/>
    <w:rsid w:val="0055663E"/>
    <w:rsid w:val="0056245B"/>
    <w:rsid w:val="00570C10"/>
    <w:rsid w:val="005733CF"/>
    <w:rsid w:val="00574889"/>
    <w:rsid w:val="00577DF2"/>
    <w:rsid w:val="0058102E"/>
    <w:rsid w:val="00581161"/>
    <w:rsid w:val="005824B8"/>
    <w:rsid w:val="00585A54"/>
    <w:rsid w:val="00585CAF"/>
    <w:rsid w:val="00590EA7"/>
    <w:rsid w:val="005A0083"/>
    <w:rsid w:val="005A488C"/>
    <w:rsid w:val="005A7FED"/>
    <w:rsid w:val="005B0960"/>
    <w:rsid w:val="005B0A70"/>
    <w:rsid w:val="005C53DB"/>
    <w:rsid w:val="005D2774"/>
    <w:rsid w:val="005E17FE"/>
    <w:rsid w:val="005E496E"/>
    <w:rsid w:val="005F04AC"/>
    <w:rsid w:val="005F1F6B"/>
    <w:rsid w:val="0060227F"/>
    <w:rsid w:val="00615938"/>
    <w:rsid w:val="00622D6A"/>
    <w:rsid w:val="006230DF"/>
    <w:rsid w:val="0062696F"/>
    <w:rsid w:val="00627800"/>
    <w:rsid w:val="006347AF"/>
    <w:rsid w:val="006421B3"/>
    <w:rsid w:val="006423D7"/>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C5"/>
    <w:rsid w:val="007227AE"/>
    <w:rsid w:val="00723FF8"/>
    <w:rsid w:val="007243DA"/>
    <w:rsid w:val="00724EC0"/>
    <w:rsid w:val="007262C9"/>
    <w:rsid w:val="00726EB6"/>
    <w:rsid w:val="00731428"/>
    <w:rsid w:val="00734926"/>
    <w:rsid w:val="00744987"/>
    <w:rsid w:val="0075139E"/>
    <w:rsid w:val="007547F8"/>
    <w:rsid w:val="0075546B"/>
    <w:rsid w:val="00765AAE"/>
    <w:rsid w:val="00777FB1"/>
    <w:rsid w:val="007870AA"/>
    <w:rsid w:val="00787267"/>
    <w:rsid w:val="007912FD"/>
    <w:rsid w:val="007934D6"/>
    <w:rsid w:val="007951E3"/>
    <w:rsid w:val="007959C7"/>
    <w:rsid w:val="00796909"/>
    <w:rsid w:val="007A3598"/>
    <w:rsid w:val="007B1DA3"/>
    <w:rsid w:val="007C0FC5"/>
    <w:rsid w:val="007C40BA"/>
    <w:rsid w:val="007D7A93"/>
    <w:rsid w:val="007E1F55"/>
    <w:rsid w:val="007E262E"/>
    <w:rsid w:val="007E52A0"/>
    <w:rsid w:val="007E6667"/>
    <w:rsid w:val="007E68D1"/>
    <w:rsid w:val="007E6BE7"/>
    <w:rsid w:val="007E725C"/>
    <w:rsid w:val="007F0994"/>
    <w:rsid w:val="007F0B26"/>
    <w:rsid w:val="007F601D"/>
    <w:rsid w:val="007F6C43"/>
    <w:rsid w:val="0080350D"/>
    <w:rsid w:val="00805819"/>
    <w:rsid w:val="008135F0"/>
    <w:rsid w:val="00821CEF"/>
    <w:rsid w:val="0082471A"/>
    <w:rsid w:val="0082538C"/>
    <w:rsid w:val="00826980"/>
    <w:rsid w:val="008273A3"/>
    <w:rsid w:val="008328FF"/>
    <w:rsid w:val="00835562"/>
    <w:rsid w:val="008355F9"/>
    <w:rsid w:val="00841086"/>
    <w:rsid w:val="008434C0"/>
    <w:rsid w:val="00843AA5"/>
    <w:rsid w:val="0084537B"/>
    <w:rsid w:val="00847AE5"/>
    <w:rsid w:val="0085042D"/>
    <w:rsid w:val="00856463"/>
    <w:rsid w:val="00856996"/>
    <w:rsid w:val="008615DE"/>
    <w:rsid w:val="0086419F"/>
    <w:rsid w:val="008668D6"/>
    <w:rsid w:val="00867FF6"/>
    <w:rsid w:val="00884595"/>
    <w:rsid w:val="00884BC7"/>
    <w:rsid w:val="00885491"/>
    <w:rsid w:val="008879E6"/>
    <w:rsid w:val="00890345"/>
    <w:rsid w:val="00894764"/>
    <w:rsid w:val="00896DBB"/>
    <w:rsid w:val="008A5D3C"/>
    <w:rsid w:val="008B4B4F"/>
    <w:rsid w:val="008B519D"/>
    <w:rsid w:val="008D0C18"/>
    <w:rsid w:val="008D3918"/>
    <w:rsid w:val="008D3CC2"/>
    <w:rsid w:val="008D4EB5"/>
    <w:rsid w:val="008F520E"/>
    <w:rsid w:val="008F7099"/>
    <w:rsid w:val="00902B40"/>
    <w:rsid w:val="009030D4"/>
    <w:rsid w:val="009047A1"/>
    <w:rsid w:val="00904FBD"/>
    <w:rsid w:val="00905003"/>
    <w:rsid w:val="009136C5"/>
    <w:rsid w:val="009139C2"/>
    <w:rsid w:val="009155B9"/>
    <w:rsid w:val="00915784"/>
    <w:rsid w:val="00915F4D"/>
    <w:rsid w:val="00917D9D"/>
    <w:rsid w:val="009228AB"/>
    <w:rsid w:val="009229E3"/>
    <w:rsid w:val="009241DC"/>
    <w:rsid w:val="00926F34"/>
    <w:rsid w:val="00933BAD"/>
    <w:rsid w:val="00935242"/>
    <w:rsid w:val="00941874"/>
    <w:rsid w:val="00945532"/>
    <w:rsid w:val="00955EE7"/>
    <w:rsid w:val="00965FB8"/>
    <w:rsid w:val="00966348"/>
    <w:rsid w:val="009726E6"/>
    <w:rsid w:val="00974BF7"/>
    <w:rsid w:val="0098222B"/>
    <w:rsid w:val="00985FBC"/>
    <w:rsid w:val="00991A72"/>
    <w:rsid w:val="009A3448"/>
    <w:rsid w:val="009A5E7C"/>
    <w:rsid w:val="009A6784"/>
    <w:rsid w:val="009B3246"/>
    <w:rsid w:val="009B4439"/>
    <w:rsid w:val="009B4C50"/>
    <w:rsid w:val="009B732D"/>
    <w:rsid w:val="009B7BE4"/>
    <w:rsid w:val="009C303B"/>
    <w:rsid w:val="009C3E46"/>
    <w:rsid w:val="009C57F2"/>
    <w:rsid w:val="009C7EFB"/>
    <w:rsid w:val="009D38CA"/>
    <w:rsid w:val="009E00F0"/>
    <w:rsid w:val="009E61DC"/>
    <w:rsid w:val="009F3EFE"/>
    <w:rsid w:val="009F5ADD"/>
    <w:rsid w:val="00A10E7E"/>
    <w:rsid w:val="00A12CD9"/>
    <w:rsid w:val="00A1360E"/>
    <w:rsid w:val="00A15DFB"/>
    <w:rsid w:val="00A20D13"/>
    <w:rsid w:val="00A2620F"/>
    <w:rsid w:val="00A34D52"/>
    <w:rsid w:val="00A417C2"/>
    <w:rsid w:val="00A41D67"/>
    <w:rsid w:val="00A42258"/>
    <w:rsid w:val="00A43007"/>
    <w:rsid w:val="00A47AE8"/>
    <w:rsid w:val="00A547A9"/>
    <w:rsid w:val="00A63E9A"/>
    <w:rsid w:val="00A92682"/>
    <w:rsid w:val="00AA63BE"/>
    <w:rsid w:val="00AA6A83"/>
    <w:rsid w:val="00AA71E7"/>
    <w:rsid w:val="00AA788F"/>
    <w:rsid w:val="00AB0B07"/>
    <w:rsid w:val="00AB0CDE"/>
    <w:rsid w:val="00AB39AC"/>
    <w:rsid w:val="00AB4BB6"/>
    <w:rsid w:val="00AC12B8"/>
    <w:rsid w:val="00AC5ADF"/>
    <w:rsid w:val="00AD69A6"/>
    <w:rsid w:val="00AE043E"/>
    <w:rsid w:val="00AF0A04"/>
    <w:rsid w:val="00AF26F6"/>
    <w:rsid w:val="00AF37CB"/>
    <w:rsid w:val="00AF5E57"/>
    <w:rsid w:val="00AF6600"/>
    <w:rsid w:val="00AF6D03"/>
    <w:rsid w:val="00AF7E10"/>
    <w:rsid w:val="00B010B1"/>
    <w:rsid w:val="00B02B7D"/>
    <w:rsid w:val="00B05D33"/>
    <w:rsid w:val="00B212E3"/>
    <w:rsid w:val="00B23864"/>
    <w:rsid w:val="00B27BCC"/>
    <w:rsid w:val="00B36465"/>
    <w:rsid w:val="00B41952"/>
    <w:rsid w:val="00B420F2"/>
    <w:rsid w:val="00B4287B"/>
    <w:rsid w:val="00B45932"/>
    <w:rsid w:val="00B45EC7"/>
    <w:rsid w:val="00B65541"/>
    <w:rsid w:val="00B676C5"/>
    <w:rsid w:val="00B742F3"/>
    <w:rsid w:val="00B8086C"/>
    <w:rsid w:val="00B81DD9"/>
    <w:rsid w:val="00BA27FA"/>
    <w:rsid w:val="00BA3DAF"/>
    <w:rsid w:val="00BB01E2"/>
    <w:rsid w:val="00BB4826"/>
    <w:rsid w:val="00BB518F"/>
    <w:rsid w:val="00BC5B98"/>
    <w:rsid w:val="00BC67A5"/>
    <w:rsid w:val="00BD1CAE"/>
    <w:rsid w:val="00BD2CBD"/>
    <w:rsid w:val="00BD4523"/>
    <w:rsid w:val="00BD5390"/>
    <w:rsid w:val="00BD665B"/>
    <w:rsid w:val="00BE2353"/>
    <w:rsid w:val="00BE4677"/>
    <w:rsid w:val="00BF28AA"/>
    <w:rsid w:val="00BF5BC8"/>
    <w:rsid w:val="00C04559"/>
    <w:rsid w:val="00C06A93"/>
    <w:rsid w:val="00C113CD"/>
    <w:rsid w:val="00C24A80"/>
    <w:rsid w:val="00C24C41"/>
    <w:rsid w:val="00C32DFF"/>
    <w:rsid w:val="00C35B51"/>
    <w:rsid w:val="00C404FB"/>
    <w:rsid w:val="00C47704"/>
    <w:rsid w:val="00C64138"/>
    <w:rsid w:val="00C65DF4"/>
    <w:rsid w:val="00C71469"/>
    <w:rsid w:val="00C764D1"/>
    <w:rsid w:val="00C775B8"/>
    <w:rsid w:val="00C80681"/>
    <w:rsid w:val="00C81B51"/>
    <w:rsid w:val="00C83B6E"/>
    <w:rsid w:val="00C84BBB"/>
    <w:rsid w:val="00C8763C"/>
    <w:rsid w:val="00C9127E"/>
    <w:rsid w:val="00C9132D"/>
    <w:rsid w:val="00C952F6"/>
    <w:rsid w:val="00C976F6"/>
    <w:rsid w:val="00CA1C12"/>
    <w:rsid w:val="00CA1ED5"/>
    <w:rsid w:val="00CA63E1"/>
    <w:rsid w:val="00CB3966"/>
    <w:rsid w:val="00CB4856"/>
    <w:rsid w:val="00CC3394"/>
    <w:rsid w:val="00CC34B1"/>
    <w:rsid w:val="00CD2878"/>
    <w:rsid w:val="00CD37DB"/>
    <w:rsid w:val="00CD4148"/>
    <w:rsid w:val="00CD57B7"/>
    <w:rsid w:val="00CD6E91"/>
    <w:rsid w:val="00CD7D82"/>
    <w:rsid w:val="00CE5526"/>
    <w:rsid w:val="00CF05B7"/>
    <w:rsid w:val="00CF1515"/>
    <w:rsid w:val="00CF2DE2"/>
    <w:rsid w:val="00CF3D55"/>
    <w:rsid w:val="00D018F2"/>
    <w:rsid w:val="00D055E7"/>
    <w:rsid w:val="00D16C61"/>
    <w:rsid w:val="00D1725E"/>
    <w:rsid w:val="00D2745E"/>
    <w:rsid w:val="00D31029"/>
    <w:rsid w:val="00D34853"/>
    <w:rsid w:val="00D35E35"/>
    <w:rsid w:val="00D3744B"/>
    <w:rsid w:val="00D37B19"/>
    <w:rsid w:val="00D43B98"/>
    <w:rsid w:val="00D454CC"/>
    <w:rsid w:val="00D502DA"/>
    <w:rsid w:val="00D509C8"/>
    <w:rsid w:val="00D5245A"/>
    <w:rsid w:val="00D5255D"/>
    <w:rsid w:val="00D53D5F"/>
    <w:rsid w:val="00D547BB"/>
    <w:rsid w:val="00D72237"/>
    <w:rsid w:val="00D72D16"/>
    <w:rsid w:val="00D75A22"/>
    <w:rsid w:val="00D76A2F"/>
    <w:rsid w:val="00D840B8"/>
    <w:rsid w:val="00D90BC6"/>
    <w:rsid w:val="00D93DEC"/>
    <w:rsid w:val="00D93E78"/>
    <w:rsid w:val="00D95B7C"/>
    <w:rsid w:val="00DA7347"/>
    <w:rsid w:val="00DB31C6"/>
    <w:rsid w:val="00DB7D0B"/>
    <w:rsid w:val="00DC027A"/>
    <w:rsid w:val="00DC46CB"/>
    <w:rsid w:val="00DC77AE"/>
    <w:rsid w:val="00DD1802"/>
    <w:rsid w:val="00DD36AA"/>
    <w:rsid w:val="00DE11CF"/>
    <w:rsid w:val="00DE4698"/>
    <w:rsid w:val="00DE477B"/>
    <w:rsid w:val="00DE57C5"/>
    <w:rsid w:val="00DF0D16"/>
    <w:rsid w:val="00DF10E5"/>
    <w:rsid w:val="00DF4142"/>
    <w:rsid w:val="00DF7448"/>
    <w:rsid w:val="00E021FF"/>
    <w:rsid w:val="00E07445"/>
    <w:rsid w:val="00E11B08"/>
    <w:rsid w:val="00E13813"/>
    <w:rsid w:val="00E1563F"/>
    <w:rsid w:val="00E162AB"/>
    <w:rsid w:val="00E17E03"/>
    <w:rsid w:val="00E22C8E"/>
    <w:rsid w:val="00E33A97"/>
    <w:rsid w:val="00E4084D"/>
    <w:rsid w:val="00E44200"/>
    <w:rsid w:val="00E44EAD"/>
    <w:rsid w:val="00E534AF"/>
    <w:rsid w:val="00E54CD2"/>
    <w:rsid w:val="00E54DEB"/>
    <w:rsid w:val="00E5661A"/>
    <w:rsid w:val="00E568C1"/>
    <w:rsid w:val="00E60A08"/>
    <w:rsid w:val="00E61B38"/>
    <w:rsid w:val="00E705CA"/>
    <w:rsid w:val="00E7481D"/>
    <w:rsid w:val="00E759EA"/>
    <w:rsid w:val="00E77766"/>
    <w:rsid w:val="00E77B31"/>
    <w:rsid w:val="00E81F62"/>
    <w:rsid w:val="00E83EE4"/>
    <w:rsid w:val="00E84F7E"/>
    <w:rsid w:val="00E8550C"/>
    <w:rsid w:val="00E93D9E"/>
    <w:rsid w:val="00E9429E"/>
    <w:rsid w:val="00E944A6"/>
    <w:rsid w:val="00E9548C"/>
    <w:rsid w:val="00E978F3"/>
    <w:rsid w:val="00EA0E0F"/>
    <w:rsid w:val="00EB2A8D"/>
    <w:rsid w:val="00EB4D47"/>
    <w:rsid w:val="00EB50B0"/>
    <w:rsid w:val="00EB5623"/>
    <w:rsid w:val="00EC2954"/>
    <w:rsid w:val="00EC32B3"/>
    <w:rsid w:val="00EC5312"/>
    <w:rsid w:val="00ED1662"/>
    <w:rsid w:val="00EE0303"/>
    <w:rsid w:val="00EF7D4D"/>
    <w:rsid w:val="00F0128D"/>
    <w:rsid w:val="00F01A74"/>
    <w:rsid w:val="00F028EB"/>
    <w:rsid w:val="00F03927"/>
    <w:rsid w:val="00F0420E"/>
    <w:rsid w:val="00F0509F"/>
    <w:rsid w:val="00F064B2"/>
    <w:rsid w:val="00F06C86"/>
    <w:rsid w:val="00F071B9"/>
    <w:rsid w:val="00F1146C"/>
    <w:rsid w:val="00F15131"/>
    <w:rsid w:val="00F16346"/>
    <w:rsid w:val="00F165C8"/>
    <w:rsid w:val="00F16FD1"/>
    <w:rsid w:val="00F23342"/>
    <w:rsid w:val="00F26107"/>
    <w:rsid w:val="00F2656C"/>
    <w:rsid w:val="00F3073F"/>
    <w:rsid w:val="00F30C78"/>
    <w:rsid w:val="00F3206E"/>
    <w:rsid w:val="00F3784F"/>
    <w:rsid w:val="00F37BBC"/>
    <w:rsid w:val="00F42331"/>
    <w:rsid w:val="00F4249E"/>
    <w:rsid w:val="00F424C2"/>
    <w:rsid w:val="00F426AB"/>
    <w:rsid w:val="00F537FC"/>
    <w:rsid w:val="00F57506"/>
    <w:rsid w:val="00F57B1F"/>
    <w:rsid w:val="00F6239E"/>
    <w:rsid w:val="00F74B50"/>
    <w:rsid w:val="00F82BDF"/>
    <w:rsid w:val="00F84738"/>
    <w:rsid w:val="00F85363"/>
    <w:rsid w:val="00F87521"/>
    <w:rsid w:val="00F90C88"/>
    <w:rsid w:val="00F940AE"/>
    <w:rsid w:val="00F955E7"/>
    <w:rsid w:val="00FA4FEE"/>
    <w:rsid w:val="00FA522E"/>
    <w:rsid w:val="00FA79E2"/>
    <w:rsid w:val="00FB14AC"/>
    <w:rsid w:val="00FC547F"/>
    <w:rsid w:val="00FC6B98"/>
    <w:rsid w:val="00FC7F1F"/>
    <w:rsid w:val="00FD1525"/>
    <w:rsid w:val="00FD5C33"/>
    <w:rsid w:val="00FD653A"/>
    <w:rsid w:val="00FD7317"/>
    <w:rsid w:val="00FF5F79"/>
    <w:rsid w:val="182E403B"/>
    <w:rsid w:val="2C8C5D24"/>
    <w:rsid w:val="527A40CA"/>
    <w:rsid w:val="60F2511B"/>
    <w:rsid w:val="6AAC038F"/>
    <w:rsid w:val="6E7D35D3"/>
    <w:rsid w:val="7A8D6E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23"/>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0">
    <w:name w:val="Default Paragraph Font"/>
    <w:unhideWhenUsed/>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4">
    <w:name w:val="Plain Text"/>
    <w:basedOn w:val="1"/>
    <w:link w:val="28"/>
    <w:uiPriority w:val="0"/>
    <w:pPr>
      <w:jc w:val="left"/>
    </w:pPr>
    <w:rPr>
      <w:rFonts w:ascii="宋体" w:hAnsi="Courier New" w:cs="宋体"/>
      <w:kern w:val="0"/>
    </w:rPr>
  </w:style>
  <w:style w:type="paragraph" w:styleId="5">
    <w:name w:val="Balloon Text"/>
    <w:basedOn w:val="1"/>
    <w:link w:val="24"/>
    <w:uiPriority w:val="99"/>
    <w:rPr>
      <w:rFonts w:ascii="Times New Roman" w:hAnsi="Times New Roman" w:cs="Times New Roman"/>
      <w:kern w:val="0"/>
      <w:sz w:val="18"/>
      <w:szCs w:val="18"/>
    </w:rPr>
  </w:style>
  <w:style w:type="paragraph" w:styleId="6">
    <w:name w:val="footer"/>
    <w:basedOn w:val="1"/>
    <w:link w:val="25"/>
    <w:uiPriority w:val="0"/>
    <w:pPr>
      <w:tabs>
        <w:tab w:val="center" w:pos="4153"/>
        <w:tab w:val="right" w:pos="8306"/>
      </w:tabs>
      <w:snapToGrid w:val="0"/>
      <w:jc w:val="left"/>
    </w:pPr>
    <w:rPr>
      <w:rFonts w:ascii="Times New Roman" w:hAnsi="Times New Roman" w:cs="Times New Roman"/>
      <w:kern w:val="0"/>
      <w:sz w:val="18"/>
      <w:szCs w:val="18"/>
    </w:rPr>
  </w:style>
  <w:style w:type="paragraph" w:styleId="7">
    <w:name w:val="header"/>
    <w:basedOn w:val="1"/>
    <w:link w:val="26"/>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8">
    <w:name w:val="toc 1"/>
    <w:basedOn w:val="1"/>
    <w:next w:val="1"/>
    <w:uiPriority w:val="39"/>
  </w:style>
  <w:style w:type="paragraph" w:styleId="9">
    <w:name w:val="toc 2"/>
    <w:basedOn w:val="1"/>
    <w:next w:val="1"/>
    <w:uiPriority w:val="39"/>
    <w:pPr>
      <w:ind w:left="420" w:leftChars="200"/>
    </w:pPr>
  </w:style>
  <w:style w:type="character" w:styleId="11">
    <w:name w:val="Strong"/>
    <w:qFormat/>
    <w:locked/>
    <w:uiPriority w:val="99"/>
    <w:rPr>
      <w:b/>
      <w:bCs/>
    </w:rPr>
  </w:style>
  <w:style w:type="character" w:styleId="12">
    <w:name w:val="page number"/>
    <w:basedOn w:val="10"/>
    <w:unhideWhenUsed/>
    <w:uiPriority w:val="99"/>
  </w:style>
  <w:style w:type="character" w:styleId="13">
    <w:name w:val="Hyperlink"/>
    <w:uiPriority w:val="99"/>
    <w:rPr>
      <w:color w:val="0000FF"/>
      <w:u w:val="single"/>
    </w:rPr>
  </w:style>
  <w:style w:type="table" w:styleId="15">
    <w:name w:val="Table Grid"/>
    <w:basedOn w:val="14"/>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列出段落1"/>
    <w:basedOn w:val="1"/>
    <w:uiPriority w:val="99"/>
    <w:pPr>
      <w:ind w:firstLine="420" w:firstLineChars="200"/>
    </w:pPr>
  </w:style>
  <w:style w:type="paragraph" w:customStyle="1" w:styleId="17">
    <w:name w:val="_Style 23"/>
    <w:basedOn w:val="1"/>
    <w:uiPriority w:val="99"/>
    <w:pPr>
      <w:widowControl/>
      <w:spacing w:after="160" w:line="240" w:lineRule="exact"/>
      <w:jc w:val="left"/>
    </w:pPr>
    <w:rPr>
      <w:rFonts w:ascii="Verdana" w:hAnsi="Verdana" w:cs="Verdana"/>
      <w:kern w:val="0"/>
      <w:sz w:val="20"/>
      <w:szCs w:val="20"/>
      <w:lang w:eastAsia="en-US"/>
    </w:rPr>
  </w:style>
  <w:style w:type="paragraph" w:customStyle="1" w:styleId="18">
    <w:name w:val="样式1"/>
    <w:basedOn w:val="1"/>
    <w:qFormat/>
    <w:uiPriority w:val="99"/>
    <w:pPr>
      <w:adjustRightInd w:val="0"/>
      <w:textAlignment w:val="baseline"/>
    </w:pPr>
    <w:rPr>
      <w:rFonts w:ascii="宋体" w:hAnsi="宋体" w:cs="宋体"/>
      <w:kern w:val="0"/>
    </w:rPr>
  </w:style>
  <w:style w:type="paragraph" w:customStyle="1" w:styleId="19">
    <w:name w:val="表格正文"/>
    <w:basedOn w:val="1"/>
    <w:qFormat/>
    <w:uiPriority w:val="99"/>
    <w:pPr>
      <w:spacing w:beforeLines="50"/>
    </w:pPr>
    <w:rPr>
      <w:rFonts w:ascii="Arial" w:hAnsi="Arial" w:cs="Arial"/>
    </w:rPr>
  </w:style>
  <w:style w:type="paragraph" w:customStyle="1" w:styleId="2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
    <w:name w:val="标题 1 Char"/>
    <w:link w:val="2"/>
    <w:qFormat/>
    <w:locked/>
    <w:uiPriority w:val="99"/>
    <w:rPr>
      <w:rFonts w:eastAsia="仿宋_GB2312"/>
      <w:b/>
      <w:bCs/>
      <w:kern w:val="44"/>
      <w:sz w:val="44"/>
      <w:szCs w:val="44"/>
    </w:rPr>
  </w:style>
  <w:style w:type="character" w:customStyle="1" w:styleId="23">
    <w:name w:val="标题 2 Char"/>
    <w:link w:val="3"/>
    <w:qFormat/>
    <w:locked/>
    <w:uiPriority w:val="99"/>
    <w:rPr>
      <w:rFonts w:ascii="Cambria" w:hAnsi="Cambria" w:eastAsia="仿宋_GB2312" w:cs="Cambria"/>
      <w:b/>
      <w:bCs/>
      <w:sz w:val="32"/>
      <w:szCs w:val="32"/>
    </w:rPr>
  </w:style>
  <w:style w:type="character" w:customStyle="1" w:styleId="24">
    <w:name w:val="批注框文本 Char"/>
    <w:link w:val="5"/>
    <w:locked/>
    <w:uiPriority w:val="99"/>
    <w:rPr>
      <w:sz w:val="18"/>
      <w:szCs w:val="18"/>
    </w:rPr>
  </w:style>
  <w:style w:type="character" w:customStyle="1" w:styleId="25">
    <w:name w:val="页脚 Char"/>
    <w:link w:val="6"/>
    <w:locked/>
    <w:uiPriority w:val="99"/>
    <w:rPr>
      <w:sz w:val="18"/>
      <w:szCs w:val="18"/>
    </w:rPr>
  </w:style>
  <w:style w:type="character" w:customStyle="1" w:styleId="26">
    <w:name w:val="页眉 Char"/>
    <w:link w:val="7"/>
    <w:locked/>
    <w:uiPriority w:val="99"/>
    <w:rPr>
      <w:sz w:val="18"/>
      <w:szCs w:val="18"/>
    </w:rPr>
  </w:style>
  <w:style w:type="character" w:customStyle="1" w:styleId="27">
    <w:name w:val="Plain Text Char"/>
    <w:locked/>
    <w:uiPriority w:val="99"/>
    <w:rPr>
      <w:rFonts w:ascii="宋体" w:hAnsi="Courier New" w:cs="宋体"/>
      <w:sz w:val="21"/>
      <w:szCs w:val="21"/>
    </w:rPr>
  </w:style>
  <w:style w:type="character" w:customStyle="1" w:styleId="28">
    <w:name w:val="纯文本 Char"/>
    <w:link w:val="4"/>
    <w:locked/>
    <w:uiPriority w:val="0"/>
    <w:rPr>
      <w:rFonts w:ascii="宋体" w:hAnsi="Courier New" w:cs="宋体"/>
      <w:sz w:val="21"/>
      <w:szCs w:val="21"/>
    </w:rPr>
  </w:style>
  <w:style w:type="character" w:customStyle="1" w:styleId="29">
    <w:name w:val="纯文本 Char1"/>
    <w:uiPriority w:val="99"/>
    <w:rPr>
      <w:rFonts w:ascii="宋体" w:hAnsi="Courier New" w:cs="宋体"/>
      <w:kern w:val="2"/>
      <w:sz w:val="21"/>
      <w:szCs w:val="21"/>
    </w:rPr>
  </w:style>
  <w:style w:type="paragraph" w:customStyle="1" w:styleId="30">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1">
    <w:name w:val="正文_2"/>
    <w:uiPriority w:val="0"/>
    <w:pPr>
      <w:widowControl w:val="0"/>
      <w:jc w:val="both"/>
    </w:pPr>
    <w:rPr>
      <w:rFonts w:ascii="Calibri" w:hAnsi="Calibri" w:eastAsia="宋体" w:cs="Times New Roman"/>
      <w:kern w:val="2"/>
      <w:sz w:val="21"/>
      <w:szCs w:val="22"/>
      <w:lang w:val="en-US" w:eastAsia="zh-CN" w:bidi="ar-SA"/>
    </w:rPr>
  </w:style>
  <w:style w:type="character" w:customStyle="1" w:styleId="32">
    <w:name w:val="bds_more"/>
    <w:uiPriority w:val="0"/>
    <w:rPr>
      <w:rFonts w:hint="eastAsia" w:ascii="宋体" w:hAnsi="宋体" w:eastAsia="宋体" w:cs="宋体"/>
    </w:rPr>
  </w:style>
  <w:style w:type="character" w:customStyle="1" w:styleId="33">
    <w:name w:val="font11"/>
    <w:basedOn w:val="10"/>
    <w:uiPriority w:val="0"/>
    <w:rPr>
      <w:rFonts w:hint="eastAsia" w:ascii="宋体" w:hAnsi="宋体" w:eastAsia="宋体" w:cs="宋体"/>
      <w:color w:val="000000"/>
      <w:sz w:val="24"/>
      <w:szCs w:val="24"/>
      <w:u w:val="none"/>
    </w:rPr>
  </w:style>
  <w:style w:type="character" w:customStyle="1" w:styleId="34">
    <w:name w:val="bds_nopic1"/>
    <w:basedOn w:val="10"/>
    <w:uiPriority w:val="0"/>
  </w:style>
  <w:style w:type="character" w:customStyle="1" w:styleId="35">
    <w:name w:val="bds_nopic2"/>
    <w:basedOn w:val="10"/>
    <w:uiPriority w:val="0"/>
  </w:style>
  <w:style w:type="character" w:customStyle="1" w:styleId="36">
    <w:name w:val="bds_more1"/>
    <w:basedOn w:val="10"/>
    <w:uiPriority w:val="0"/>
  </w:style>
  <w:style w:type="character" w:customStyle="1" w:styleId="37">
    <w:name w:val="bds_nopic"/>
    <w:basedOn w:val="10"/>
    <w:uiPriority w:val="0"/>
  </w:style>
  <w:style w:type="character" w:customStyle="1" w:styleId="38">
    <w:name w:val="bds_more2"/>
    <w:basedOn w:val="10"/>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4FFA0E-981F-4FC4-921B-10C0ED340D0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2602</Words>
  <Characters>14837</Characters>
  <Lines>123</Lines>
  <Paragraphs>34</Paragraphs>
  <TotalTime>0</TotalTime>
  <ScaleCrop>false</ScaleCrop>
  <LinksUpToDate>false</LinksUpToDate>
  <CharactersWithSpaces>17405</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2016-03-29T00:37:00Z</dcterms:created>
  <dc:creator>User</dc:creator>
  <cp:lastModifiedBy>匿名用户</cp:lastModifiedBy>
  <cp:lastPrinted>2017-03-09T04:40:00Z</cp:lastPrinted>
  <dcterms:modified xsi:type="dcterms:W3CDTF">2019-03-18T03:37:19Z</dcterms:modified>
  <dc:title>_</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