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b/>
          <w:sz w:val="52"/>
          <w:szCs w:val="52"/>
        </w:rPr>
      </w:pPr>
      <w:r>
        <w:rPr>
          <w:rFonts w:ascii="仿宋" w:hAnsi="仿宋" w:eastAsia="仿宋"/>
          <w:b/>
          <w:sz w:val="52"/>
          <w:szCs w:val="52"/>
        </w:rPr>
        <w:pict>
          <v:shape id="_x0000_i1025" o:spt="136" type="#_x0000_t136" style="height:69pt;width:487.5pt;" fillcolor="#000000" filled="t" coordsize="21600,21600">
            <v:path/>
            <v:fill on="t" focussize="0,0"/>
            <v:stroke/>
            <v:imagedata o:title=""/>
            <o:lock v:ext="edit"/>
            <v:textpath on="t" fitshape="t" fitpath="t" trim="t" xscale="f" string="鄂尔多斯市空港实业有限公司" style="font-family:宋体;font-size:36pt;v-text-align:center;"/>
            <v:shadow on="t" color="#868686" offset="1pt,0pt" offset2="-2pt,-4pt"/>
            <w10:wrap type="none"/>
            <w10:anchorlock/>
          </v:shape>
        </w:pict>
      </w: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r>
        <w:rPr>
          <w:rFonts w:ascii="仿宋" w:hAnsi="仿宋" w:eastAsia="仿宋"/>
          <w:b/>
          <w:sz w:val="52"/>
          <w:szCs w:val="52"/>
        </w:rPr>
        <w:pict>
          <v:shape id="_x0000_i1026" o:spt="136" type="#_x0000_t136" style="height:44.25pt;width:177pt;" fillcolor="#000000" filled="t" o:preferrelative="t" coordsize="21600,21600">
            <v:path/>
            <v:fill on="t" focussize="0,0"/>
            <v:stroke miterlimit="2"/>
            <v:imagedata o:title=""/>
            <o:lock v:ext="edit" text="f"/>
            <v:textpath on="t" fitshape="t" fitpath="t" trim="t" xscale="f" string="采购文件" style="font-family:宋体;font-size:44pt;v-text-align:center;"/>
            <v:shadow on="t" color="#868686" offset="2pt,1pt" offset2="-2pt,-2pt"/>
            <w10:wrap type="none"/>
            <w10:anchorlock/>
          </v:shape>
        </w:pict>
      </w: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rPr>
          <w:rFonts w:ascii="仿宋" w:hAnsi="仿宋" w:eastAsia="仿宋"/>
          <w:b/>
          <w:sz w:val="52"/>
          <w:szCs w:val="52"/>
        </w:rPr>
      </w:pPr>
    </w:p>
    <w:p>
      <w:pPr>
        <w:rPr>
          <w:rFonts w:ascii="仿宋" w:hAnsi="仿宋" w:eastAsia="仿宋"/>
          <w:b/>
          <w:sz w:val="52"/>
          <w:szCs w:val="52"/>
        </w:rPr>
      </w:pPr>
    </w:p>
    <w:p>
      <w:pPr>
        <w:jc w:val="center"/>
        <w:rPr>
          <w:rFonts w:ascii="仿宋" w:hAnsi="仿宋" w:eastAsia="仿宋"/>
          <w:b/>
          <w:sz w:val="44"/>
          <w:szCs w:val="44"/>
        </w:rPr>
      </w:pPr>
      <w:r>
        <w:rPr>
          <w:rFonts w:hint="eastAsia" w:ascii="仿宋" w:hAnsi="仿宋" w:eastAsia="仿宋"/>
          <w:b/>
          <w:sz w:val="44"/>
          <w:szCs w:val="44"/>
        </w:rPr>
        <w:t>项目名称：</w:t>
      </w:r>
      <w:r>
        <w:rPr>
          <w:rFonts w:hint="eastAsia" w:ascii="仿宋" w:hAnsi="仿宋" w:eastAsia="仿宋"/>
          <w:b/>
          <w:sz w:val="44"/>
          <w:szCs w:val="44"/>
          <w:lang w:eastAsia="zh-CN"/>
        </w:rPr>
        <w:t>外</w:t>
      </w:r>
      <w:r>
        <w:rPr>
          <w:rFonts w:hint="eastAsia" w:ascii="仿宋" w:hAnsi="仿宋" w:eastAsia="仿宋"/>
          <w:b/>
          <w:sz w:val="44"/>
          <w:szCs w:val="44"/>
        </w:rPr>
        <w:t>接项目</w:t>
      </w:r>
      <w:r>
        <w:rPr>
          <w:rFonts w:hint="eastAsia" w:ascii="仿宋" w:hAnsi="仿宋" w:eastAsia="仿宋"/>
          <w:b/>
          <w:sz w:val="44"/>
          <w:szCs w:val="44"/>
          <w:lang w:eastAsia="zh-CN"/>
        </w:rPr>
        <w:t>物业服务</w:t>
      </w:r>
      <w:r>
        <w:rPr>
          <w:rFonts w:hint="eastAsia" w:ascii="仿宋" w:hAnsi="仿宋" w:eastAsia="仿宋"/>
          <w:b/>
          <w:sz w:val="44"/>
          <w:szCs w:val="44"/>
        </w:rPr>
        <w:t>采购</w:t>
      </w:r>
    </w:p>
    <w:p>
      <w:pPr>
        <w:jc w:val="center"/>
        <w:rPr>
          <w:rFonts w:ascii="仿宋" w:hAnsi="仿宋" w:eastAsia="仿宋"/>
          <w:b/>
          <w:sz w:val="44"/>
          <w:szCs w:val="44"/>
        </w:rPr>
      </w:pPr>
      <w:r>
        <w:rPr>
          <w:rFonts w:hint="eastAsia" w:ascii="仿宋" w:hAnsi="仿宋" w:eastAsia="仿宋"/>
          <w:b/>
          <w:sz w:val="44"/>
          <w:szCs w:val="44"/>
        </w:rPr>
        <w:t>项目编号：CG/SYGS-19-00</w:t>
      </w:r>
      <w:r>
        <w:rPr>
          <w:rFonts w:hint="eastAsia" w:ascii="仿宋" w:hAnsi="仿宋" w:eastAsia="仿宋"/>
          <w:b/>
          <w:sz w:val="44"/>
          <w:szCs w:val="44"/>
          <w:lang w:val="en-US" w:eastAsia="zh-CN"/>
        </w:rPr>
        <w:t>6</w:t>
      </w:r>
      <w:r>
        <w:rPr>
          <w:rFonts w:hint="eastAsia" w:ascii="仿宋" w:hAnsi="仿宋" w:eastAsia="仿宋"/>
          <w:b/>
          <w:sz w:val="44"/>
          <w:szCs w:val="44"/>
        </w:rPr>
        <w:t>-N</w:t>
      </w:r>
    </w:p>
    <w:p>
      <w:pPr>
        <w:jc w:val="center"/>
        <w:rPr>
          <w:rFonts w:ascii="仿宋" w:hAnsi="仿宋" w:eastAsia="仿宋"/>
          <w:b/>
          <w:sz w:val="44"/>
          <w:szCs w:val="44"/>
        </w:rPr>
      </w:pPr>
    </w:p>
    <w:p>
      <w:pPr>
        <w:jc w:val="center"/>
        <w:rPr>
          <w:rFonts w:ascii="仿宋" w:hAnsi="仿宋" w:eastAsia="仿宋"/>
          <w:b/>
          <w:sz w:val="44"/>
          <w:szCs w:val="44"/>
        </w:rPr>
      </w:pPr>
    </w:p>
    <w:p>
      <w:pPr>
        <w:widowControl/>
        <w:jc w:val="center"/>
        <w:rPr>
          <w:rFonts w:ascii="方正小标宋简体" w:hAnsi="仿宋" w:eastAsia="方正小标宋简体"/>
          <w:sz w:val="44"/>
          <w:szCs w:val="44"/>
        </w:rPr>
      </w:pPr>
      <w:r>
        <w:rPr>
          <w:rFonts w:hint="eastAsia" w:ascii="方正小标宋简体" w:hAnsi="仿宋" w:eastAsia="方正小标宋简体"/>
          <w:sz w:val="44"/>
          <w:szCs w:val="44"/>
        </w:rPr>
        <w:t>目录</w:t>
      </w:r>
    </w:p>
    <w:p>
      <w:pPr>
        <w:widowControl/>
        <w:jc w:val="center"/>
        <w:rPr>
          <w:rFonts w:ascii="方正小标宋简体" w:hAnsi="仿宋" w:eastAsia="方正小标宋简体"/>
          <w:sz w:val="44"/>
          <w:szCs w:val="44"/>
        </w:rPr>
      </w:pPr>
    </w:p>
    <w:p>
      <w:pPr>
        <w:pStyle w:val="9"/>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48"/>
          <w:szCs w:val="48"/>
        </w:rPr>
        <w:fldChar w:fldCharType="begin"/>
      </w:r>
      <w:r>
        <w:rPr>
          <w:rFonts w:hint="eastAsia" w:ascii="仿宋_GB2312" w:hAnsi="仿宋_GB2312" w:eastAsia="仿宋_GB2312" w:cs="仿宋_GB2312"/>
          <w:sz w:val="48"/>
          <w:szCs w:val="48"/>
        </w:rPr>
        <w:instrText xml:space="preserve"> TOC \o "1-3" \h \z \u </w:instrText>
      </w:r>
      <w:r>
        <w:rPr>
          <w:rFonts w:hint="eastAsia" w:ascii="仿宋_GB2312" w:hAnsi="仿宋_GB2312" w:eastAsia="仿宋_GB2312" w:cs="仿宋_GB2312"/>
          <w:sz w:val="48"/>
          <w:szCs w:val="48"/>
        </w:rPr>
        <w:fldChar w:fldCharType="separate"/>
      </w:r>
      <w:r>
        <w:rPr>
          <w:rFonts w:hint="eastAsia" w:ascii="仿宋_GB2312" w:hAnsi="仿宋_GB2312" w:eastAsia="仿宋_GB2312" w:cs="仿宋_GB2312"/>
          <w:sz w:val="32"/>
          <w:szCs w:val="48"/>
        </w:rPr>
        <w:fldChar w:fldCharType="begin"/>
      </w:r>
      <w:r>
        <w:rPr>
          <w:rFonts w:hint="eastAsia" w:ascii="仿宋_GB2312" w:hAnsi="仿宋_GB2312" w:eastAsia="仿宋_GB2312" w:cs="仿宋_GB2312"/>
          <w:sz w:val="32"/>
          <w:szCs w:val="48"/>
        </w:rPr>
        <w:instrText xml:space="preserve"> HYPERLINK \l _Toc26200 </w:instrText>
      </w:r>
      <w:r>
        <w:rPr>
          <w:rFonts w:hint="eastAsia" w:ascii="仿宋_GB2312" w:hAnsi="仿宋_GB2312" w:eastAsia="仿宋_GB2312" w:cs="仿宋_GB2312"/>
          <w:sz w:val="32"/>
          <w:szCs w:val="48"/>
        </w:rPr>
        <w:fldChar w:fldCharType="separate"/>
      </w:r>
      <w:r>
        <w:rPr>
          <w:rFonts w:hint="eastAsia" w:ascii="仿宋_GB2312" w:hAnsi="仿宋_GB2312" w:eastAsia="仿宋_GB2312" w:cs="仿宋_GB2312"/>
          <w:sz w:val="32"/>
          <w:szCs w:val="32"/>
        </w:rPr>
        <w:t>第一章 竞争性磋商公告</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_Toc26200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48"/>
        </w:rPr>
        <w:fldChar w:fldCharType="end"/>
      </w:r>
    </w:p>
    <w:p>
      <w:pPr>
        <w:pStyle w:val="1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48"/>
        </w:rPr>
        <w:fldChar w:fldCharType="begin"/>
      </w:r>
      <w:r>
        <w:rPr>
          <w:rFonts w:hint="eastAsia" w:ascii="仿宋_GB2312" w:hAnsi="仿宋_GB2312" w:eastAsia="仿宋_GB2312" w:cs="仿宋_GB2312"/>
          <w:sz w:val="32"/>
          <w:szCs w:val="48"/>
        </w:rPr>
        <w:instrText xml:space="preserve"> HYPERLINK \l _Toc18941 </w:instrText>
      </w:r>
      <w:r>
        <w:rPr>
          <w:rFonts w:hint="eastAsia" w:ascii="仿宋_GB2312" w:hAnsi="仿宋_GB2312" w:eastAsia="仿宋_GB2312" w:cs="仿宋_GB2312"/>
          <w:sz w:val="32"/>
          <w:szCs w:val="48"/>
        </w:rPr>
        <w:fldChar w:fldCharType="separate"/>
      </w:r>
      <w:r>
        <w:rPr>
          <w:rFonts w:hint="eastAsia" w:ascii="仿宋_GB2312" w:hAnsi="仿宋_GB2312" w:eastAsia="仿宋_GB2312" w:cs="仿宋_GB2312"/>
          <w:sz w:val="32"/>
          <w:szCs w:val="44"/>
        </w:rPr>
        <w:t>一、项目概况</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_Toc18941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48"/>
        </w:rPr>
        <w:fldChar w:fldCharType="end"/>
      </w:r>
    </w:p>
    <w:p>
      <w:pPr>
        <w:pStyle w:val="1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48"/>
        </w:rPr>
        <w:fldChar w:fldCharType="begin"/>
      </w:r>
      <w:r>
        <w:rPr>
          <w:rFonts w:hint="eastAsia" w:ascii="仿宋_GB2312" w:hAnsi="仿宋_GB2312" w:eastAsia="仿宋_GB2312" w:cs="仿宋_GB2312"/>
          <w:sz w:val="32"/>
          <w:szCs w:val="48"/>
        </w:rPr>
        <w:instrText xml:space="preserve"> HYPERLINK \l _Toc5570 </w:instrText>
      </w:r>
      <w:r>
        <w:rPr>
          <w:rFonts w:hint="eastAsia" w:ascii="仿宋_GB2312" w:hAnsi="仿宋_GB2312" w:eastAsia="仿宋_GB2312" w:cs="仿宋_GB2312"/>
          <w:sz w:val="32"/>
          <w:szCs w:val="48"/>
        </w:rPr>
        <w:fldChar w:fldCharType="separate"/>
      </w:r>
      <w:r>
        <w:rPr>
          <w:rFonts w:hint="eastAsia" w:ascii="仿宋_GB2312" w:hAnsi="仿宋_GB2312" w:eastAsia="仿宋_GB2312" w:cs="仿宋_GB2312"/>
          <w:sz w:val="32"/>
          <w:szCs w:val="44"/>
        </w:rPr>
        <w:t>二、供应商的资格要求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_Toc5570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48"/>
        </w:rPr>
        <w:fldChar w:fldCharType="end"/>
      </w:r>
    </w:p>
    <w:p>
      <w:pPr>
        <w:pStyle w:val="1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48"/>
        </w:rPr>
        <w:fldChar w:fldCharType="begin"/>
      </w:r>
      <w:r>
        <w:rPr>
          <w:rFonts w:hint="eastAsia" w:ascii="仿宋_GB2312" w:hAnsi="仿宋_GB2312" w:eastAsia="仿宋_GB2312" w:cs="仿宋_GB2312"/>
          <w:sz w:val="32"/>
          <w:szCs w:val="48"/>
        </w:rPr>
        <w:instrText xml:space="preserve"> HYPERLINK \l _Toc2435 </w:instrText>
      </w:r>
      <w:r>
        <w:rPr>
          <w:rFonts w:hint="eastAsia" w:ascii="仿宋_GB2312" w:hAnsi="仿宋_GB2312" w:eastAsia="仿宋_GB2312" w:cs="仿宋_GB2312"/>
          <w:sz w:val="32"/>
          <w:szCs w:val="48"/>
        </w:rPr>
        <w:fldChar w:fldCharType="separate"/>
      </w:r>
      <w:r>
        <w:rPr>
          <w:rFonts w:hint="eastAsia" w:ascii="仿宋_GB2312" w:hAnsi="仿宋_GB2312" w:eastAsia="仿宋_GB2312" w:cs="仿宋_GB2312"/>
          <w:sz w:val="32"/>
          <w:szCs w:val="44"/>
        </w:rPr>
        <w:t>三、获取采购文件的时间、地点、方式</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_Toc2435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48"/>
        </w:rPr>
        <w:fldChar w:fldCharType="end"/>
      </w:r>
    </w:p>
    <w:p>
      <w:pPr>
        <w:pStyle w:val="1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48"/>
        </w:rPr>
        <w:fldChar w:fldCharType="begin"/>
      </w:r>
      <w:r>
        <w:rPr>
          <w:rFonts w:hint="eastAsia" w:ascii="仿宋_GB2312" w:hAnsi="仿宋_GB2312" w:eastAsia="仿宋_GB2312" w:cs="仿宋_GB2312"/>
          <w:sz w:val="32"/>
          <w:szCs w:val="48"/>
        </w:rPr>
        <w:instrText xml:space="preserve"> HYPERLINK \l _Toc14207 </w:instrText>
      </w:r>
      <w:r>
        <w:rPr>
          <w:rFonts w:hint="eastAsia" w:ascii="仿宋_GB2312" w:hAnsi="仿宋_GB2312" w:eastAsia="仿宋_GB2312" w:cs="仿宋_GB2312"/>
          <w:sz w:val="32"/>
          <w:szCs w:val="48"/>
        </w:rPr>
        <w:fldChar w:fldCharType="separate"/>
      </w:r>
      <w:r>
        <w:rPr>
          <w:rFonts w:hint="eastAsia" w:ascii="仿宋_GB2312" w:hAnsi="仿宋_GB2312" w:eastAsia="仿宋_GB2312" w:cs="仿宋_GB2312"/>
          <w:sz w:val="32"/>
          <w:szCs w:val="44"/>
        </w:rPr>
        <w:t>四、递交响应文件截止（评标）时间、地点</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_Toc14207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48"/>
        </w:rPr>
        <w:fldChar w:fldCharType="end"/>
      </w:r>
    </w:p>
    <w:p>
      <w:pPr>
        <w:pStyle w:val="1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48"/>
        </w:rPr>
        <w:fldChar w:fldCharType="begin"/>
      </w:r>
      <w:r>
        <w:rPr>
          <w:rFonts w:hint="eastAsia" w:ascii="仿宋_GB2312" w:hAnsi="仿宋_GB2312" w:eastAsia="仿宋_GB2312" w:cs="仿宋_GB2312"/>
          <w:sz w:val="32"/>
          <w:szCs w:val="48"/>
        </w:rPr>
        <w:instrText xml:space="preserve"> HYPERLINK \l _Toc9859 </w:instrText>
      </w:r>
      <w:r>
        <w:rPr>
          <w:rFonts w:hint="eastAsia" w:ascii="仿宋_GB2312" w:hAnsi="仿宋_GB2312" w:eastAsia="仿宋_GB2312" w:cs="仿宋_GB2312"/>
          <w:sz w:val="32"/>
          <w:szCs w:val="48"/>
        </w:rPr>
        <w:fldChar w:fldCharType="separate"/>
      </w:r>
      <w:r>
        <w:rPr>
          <w:rFonts w:hint="eastAsia" w:ascii="仿宋_GB2312" w:hAnsi="仿宋_GB2312" w:eastAsia="仿宋_GB2312" w:cs="仿宋_GB2312"/>
          <w:sz w:val="32"/>
          <w:szCs w:val="44"/>
        </w:rPr>
        <w:t>五、联系方式</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_Toc9859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48"/>
        </w:rPr>
        <w:fldChar w:fldCharType="end"/>
      </w:r>
    </w:p>
    <w:p>
      <w:pPr>
        <w:pStyle w:val="9"/>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48"/>
        </w:rPr>
        <w:fldChar w:fldCharType="begin"/>
      </w:r>
      <w:r>
        <w:rPr>
          <w:rFonts w:hint="eastAsia" w:ascii="仿宋_GB2312" w:hAnsi="仿宋_GB2312" w:eastAsia="仿宋_GB2312" w:cs="仿宋_GB2312"/>
          <w:sz w:val="32"/>
          <w:szCs w:val="48"/>
        </w:rPr>
        <w:instrText xml:space="preserve"> HYPERLINK \l _Toc28800 </w:instrText>
      </w:r>
      <w:r>
        <w:rPr>
          <w:rFonts w:hint="eastAsia" w:ascii="仿宋_GB2312" w:hAnsi="仿宋_GB2312" w:eastAsia="仿宋_GB2312" w:cs="仿宋_GB2312"/>
          <w:sz w:val="32"/>
          <w:szCs w:val="48"/>
        </w:rPr>
        <w:fldChar w:fldCharType="separate"/>
      </w:r>
      <w:r>
        <w:rPr>
          <w:rFonts w:hint="eastAsia" w:ascii="仿宋_GB2312" w:hAnsi="仿宋_GB2312" w:eastAsia="仿宋_GB2312" w:cs="仿宋_GB2312"/>
          <w:sz w:val="32"/>
          <w:szCs w:val="32"/>
        </w:rPr>
        <w:t>第二章 采购内容与技术要求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_Toc28800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48"/>
        </w:rPr>
        <w:fldChar w:fldCharType="end"/>
      </w:r>
    </w:p>
    <w:p>
      <w:pPr>
        <w:pStyle w:val="1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48"/>
        </w:rPr>
        <w:fldChar w:fldCharType="begin"/>
      </w:r>
      <w:r>
        <w:rPr>
          <w:rFonts w:hint="eastAsia" w:ascii="仿宋_GB2312" w:hAnsi="仿宋_GB2312" w:eastAsia="仿宋_GB2312" w:cs="仿宋_GB2312"/>
          <w:sz w:val="32"/>
          <w:szCs w:val="48"/>
        </w:rPr>
        <w:instrText xml:space="preserve"> HYPERLINK \l _Toc1949 </w:instrText>
      </w:r>
      <w:r>
        <w:rPr>
          <w:rFonts w:hint="eastAsia" w:ascii="仿宋_GB2312" w:hAnsi="仿宋_GB2312" w:eastAsia="仿宋_GB2312" w:cs="仿宋_GB2312"/>
          <w:sz w:val="32"/>
          <w:szCs w:val="48"/>
        </w:rPr>
        <w:fldChar w:fldCharType="separate"/>
      </w:r>
      <w:r>
        <w:rPr>
          <w:rFonts w:hint="eastAsia" w:ascii="仿宋_GB2312" w:hAnsi="仿宋_GB2312" w:eastAsia="仿宋_GB2312" w:cs="仿宋_GB2312"/>
          <w:bCs/>
          <w:kern w:val="0"/>
          <w:sz w:val="32"/>
          <w:szCs w:val="48"/>
        </w:rPr>
        <w:t>一、适用范围</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_Toc1949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48"/>
        </w:rPr>
        <w:fldChar w:fldCharType="end"/>
      </w:r>
    </w:p>
    <w:p>
      <w:pPr>
        <w:pStyle w:val="1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48"/>
        </w:rPr>
        <w:fldChar w:fldCharType="begin"/>
      </w:r>
      <w:r>
        <w:rPr>
          <w:rFonts w:hint="eastAsia" w:ascii="仿宋_GB2312" w:hAnsi="仿宋_GB2312" w:eastAsia="仿宋_GB2312" w:cs="仿宋_GB2312"/>
          <w:sz w:val="32"/>
          <w:szCs w:val="48"/>
        </w:rPr>
        <w:instrText xml:space="preserve"> HYPERLINK \l _Toc29814 </w:instrText>
      </w:r>
      <w:r>
        <w:rPr>
          <w:rFonts w:hint="eastAsia" w:ascii="仿宋_GB2312" w:hAnsi="仿宋_GB2312" w:eastAsia="仿宋_GB2312" w:cs="仿宋_GB2312"/>
          <w:sz w:val="32"/>
          <w:szCs w:val="48"/>
        </w:rPr>
        <w:fldChar w:fldCharType="separate"/>
      </w:r>
      <w:r>
        <w:rPr>
          <w:rFonts w:hint="eastAsia" w:ascii="仿宋_GB2312" w:hAnsi="仿宋_GB2312" w:eastAsia="仿宋_GB2312" w:cs="仿宋_GB2312"/>
          <w:bCs/>
          <w:kern w:val="0"/>
          <w:sz w:val="32"/>
          <w:szCs w:val="48"/>
          <w:lang w:eastAsia="zh-CN"/>
        </w:rPr>
        <w:t>二、</w:t>
      </w:r>
      <w:r>
        <w:rPr>
          <w:rFonts w:hint="eastAsia" w:ascii="仿宋_GB2312" w:hAnsi="仿宋_GB2312" w:eastAsia="仿宋_GB2312" w:cs="仿宋_GB2312"/>
          <w:bCs/>
          <w:kern w:val="0"/>
          <w:sz w:val="32"/>
          <w:szCs w:val="48"/>
        </w:rPr>
        <w:t>项目说明</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_Toc29814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48"/>
        </w:rPr>
        <w:fldChar w:fldCharType="end"/>
      </w:r>
    </w:p>
    <w:p>
      <w:pPr>
        <w:pStyle w:val="1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48"/>
        </w:rPr>
        <w:fldChar w:fldCharType="begin"/>
      </w:r>
      <w:r>
        <w:rPr>
          <w:rFonts w:hint="eastAsia" w:ascii="仿宋_GB2312" w:hAnsi="仿宋_GB2312" w:eastAsia="仿宋_GB2312" w:cs="仿宋_GB2312"/>
          <w:sz w:val="32"/>
          <w:szCs w:val="48"/>
        </w:rPr>
        <w:instrText xml:space="preserve"> HYPERLINK \l _Toc8972 </w:instrText>
      </w:r>
      <w:r>
        <w:rPr>
          <w:rFonts w:hint="eastAsia" w:ascii="仿宋_GB2312" w:hAnsi="仿宋_GB2312" w:eastAsia="仿宋_GB2312" w:cs="仿宋_GB2312"/>
          <w:sz w:val="32"/>
          <w:szCs w:val="48"/>
        </w:rPr>
        <w:fldChar w:fldCharType="separate"/>
      </w:r>
      <w:r>
        <w:rPr>
          <w:rFonts w:hint="eastAsia" w:ascii="仿宋_GB2312" w:hAnsi="仿宋_GB2312" w:eastAsia="仿宋_GB2312" w:cs="仿宋_GB2312"/>
          <w:bCs/>
          <w:kern w:val="0"/>
          <w:sz w:val="32"/>
          <w:szCs w:val="48"/>
        </w:rPr>
        <w:t>三、其他</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_Toc8972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9</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48"/>
        </w:rPr>
        <w:fldChar w:fldCharType="end"/>
      </w:r>
    </w:p>
    <w:p>
      <w:pPr>
        <w:pStyle w:val="9"/>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48"/>
        </w:rPr>
        <w:fldChar w:fldCharType="begin"/>
      </w:r>
      <w:r>
        <w:rPr>
          <w:rFonts w:hint="eastAsia" w:ascii="仿宋_GB2312" w:hAnsi="仿宋_GB2312" w:eastAsia="仿宋_GB2312" w:cs="仿宋_GB2312"/>
          <w:sz w:val="32"/>
          <w:szCs w:val="48"/>
        </w:rPr>
        <w:instrText xml:space="preserve"> HYPERLINK \l _Toc21715 </w:instrText>
      </w:r>
      <w:r>
        <w:rPr>
          <w:rFonts w:hint="eastAsia" w:ascii="仿宋_GB2312" w:hAnsi="仿宋_GB2312" w:eastAsia="仿宋_GB2312" w:cs="仿宋_GB2312"/>
          <w:sz w:val="32"/>
          <w:szCs w:val="48"/>
        </w:rPr>
        <w:fldChar w:fldCharType="separate"/>
      </w:r>
      <w:r>
        <w:rPr>
          <w:rFonts w:hint="eastAsia" w:ascii="仿宋_GB2312" w:hAnsi="仿宋_GB2312" w:eastAsia="仿宋_GB2312" w:cs="仿宋_GB2312"/>
          <w:sz w:val="32"/>
          <w:szCs w:val="32"/>
        </w:rPr>
        <w:t>第三章 投标人须知</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_Toc21715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10</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48"/>
        </w:rPr>
        <w:fldChar w:fldCharType="end"/>
      </w:r>
    </w:p>
    <w:p>
      <w:pPr>
        <w:pStyle w:val="1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48"/>
        </w:rPr>
        <w:fldChar w:fldCharType="begin"/>
      </w:r>
      <w:r>
        <w:rPr>
          <w:rFonts w:hint="eastAsia" w:ascii="仿宋_GB2312" w:hAnsi="仿宋_GB2312" w:eastAsia="仿宋_GB2312" w:cs="仿宋_GB2312"/>
          <w:sz w:val="32"/>
          <w:szCs w:val="48"/>
        </w:rPr>
        <w:instrText xml:space="preserve"> HYPERLINK \l _Toc28692 </w:instrText>
      </w:r>
      <w:r>
        <w:rPr>
          <w:rFonts w:hint="eastAsia" w:ascii="仿宋_GB2312" w:hAnsi="仿宋_GB2312" w:eastAsia="仿宋_GB2312" w:cs="仿宋_GB2312"/>
          <w:sz w:val="32"/>
          <w:szCs w:val="48"/>
        </w:rPr>
        <w:fldChar w:fldCharType="separate"/>
      </w:r>
      <w:r>
        <w:rPr>
          <w:rFonts w:hint="eastAsia" w:ascii="仿宋_GB2312" w:hAnsi="仿宋_GB2312" w:eastAsia="仿宋_GB2312" w:cs="仿宋_GB2312"/>
          <w:sz w:val="32"/>
          <w:szCs w:val="44"/>
        </w:rPr>
        <w:t>一、供应商资格要求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_Toc28692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10</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48"/>
        </w:rPr>
        <w:fldChar w:fldCharType="end"/>
      </w:r>
    </w:p>
    <w:p>
      <w:pPr>
        <w:pStyle w:val="1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48"/>
        </w:rPr>
        <w:fldChar w:fldCharType="begin"/>
      </w:r>
      <w:r>
        <w:rPr>
          <w:rFonts w:hint="eastAsia" w:ascii="仿宋_GB2312" w:hAnsi="仿宋_GB2312" w:eastAsia="仿宋_GB2312" w:cs="仿宋_GB2312"/>
          <w:sz w:val="32"/>
          <w:szCs w:val="48"/>
        </w:rPr>
        <w:instrText xml:space="preserve"> HYPERLINK \l _Toc4350 </w:instrText>
      </w:r>
      <w:r>
        <w:rPr>
          <w:rFonts w:hint="eastAsia" w:ascii="仿宋_GB2312" w:hAnsi="仿宋_GB2312" w:eastAsia="仿宋_GB2312" w:cs="仿宋_GB2312"/>
          <w:sz w:val="32"/>
          <w:szCs w:val="48"/>
        </w:rPr>
        <w:fldChar w:fldCharType="separate"/>
      </w:r>
      <w:r>
        <w:rPr>
          <w:rFonts w:hint="eastAsia" w:ascii="仿宋_GB2312" w:hAnsi="仿宋_GB2312" w:eastAsia="仿宋_GB2312" w:cs="仿宋_GB2312"/>
          <w:sz w:val="32"/>
          <w:szCs w:val="44"/>
        </w:rPr>
        <w:t>二、响应文件的构成</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_Toc4350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10</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48"/>
        </w:rPr>
        <w:fldChar w:fldCharType="end"/>
      </w:r>
    </w:p>
    <w:p>
      <w:pPr>
        <w:pStyle w:val="1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48"/>
        </w:rPr>
        <w:fldChar w:fldCharType="begin"/>
      </w:r>
      <w:r>
        <w:rPr>
          <w:rFonts w:hint="eastAsia" w:ascii="仿宋_GB2312" w:hAnsi="仿宋_GB2312" w:eastAsia="仿宋_GB2312" w:cs="仿宋_GB2312"/>
          <w:sz w:val="32"/>
          <w:szCs w:val="48"/>
        </w:rPr>
        <w:instrText xml:space="preserve"> HYPERLINK \l _Toc2282 </w:instrText>
      </w:r>
      <w:r>
        <w:rPr>
          <w:rFonts w:hint="eastAsia" w:ascii="仿宋_GB2312" w:hAnsi="仿宋_GB2312" w:eastAsia="仿宋_GB2312" w:cs="仿宋_GB2312"/>
          <w:sz w:val="32"/>
          <w:szCs w:val="48"/>
        </w:rPr>
        <w:fldChar w:fldCharType="separate"/>
      </w:r>
      <w:r>
        <w:rPr>
          <w:rFonts w:hint="eastAsia" w:ascii="仿宋_GB2312" w:hAnsi="仿宋_GB2312" w:eastAsia="仿宋_GB2312" w:cs="仿宋_GB2312"/>
          <w:sz w:val="32"/>
          <w:szCs w:val="32"/>
        </w:rPr>
        <w:t>三、评标与中标</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_Toc2282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10</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48"/>
        </w:rPr>
        <w:fldChar w:fldCharType="end"/>
      </w:r>
    </w:p>
    <w:p>
      <w:pPr>
        <w:pStyle w:val="9"/>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48"/>
        </w:rPr>
        <w:fldChar w:fldCharType="begin"/>
      </w:r>
      <w:r>
        <w:rPr>
          <w:rFonts w:hint="eastAsia" w:ascii="仿宋_GB2312" w:hAnsi="仿宋_GB2312" w:eastAsia="仿宋_GB2312" w:cs="仿宋_GB2312"/>
          <w:sz w:val="32"/>
          <w:szCs w:val="48"/>
        </w:rPr>
        <w:instrText xml:space="preserve"> HYPERLINK \l _Toc14619 </w:instrText>
      </w:r>
      <w:r>
        <w:rPr>
          <w:rFonts w:hint="eastAsia" w:ascii="仿宋_GB2312" w:hAnsi="仿宋_GB2312" w:eastAsia="仿宋_GB2312" w:cs="仿宋_GB2312"/>
          <w:sz w:val="32"/>
          <w:szCs w:val="48"/>
        </w:rPr>
        <w:fldChar w:fldCharType="separate"/>
      </w:r>
      <w:r>
        <w:rPr>
          <w:rFonts w:hint="eastAsia" w:ascii="仿宋_GB2312" w:hAnsi="仿宋_GB2312" w:eastAsia="仿宋_GB2312" w:cs="仿宋_GB2312"/>
          <w:sz w:val="32"/>
          <w:szCs w:val="32"/>
        </w:rPr>
        <w:t>第四章、响应文件格式与要求(参考)</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_Toc14619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48"/>
        </w:rPr>
        <w:fldChar w:fldCharType="end"/>
      </w:r>
    </w:p>
    <w:p>
      <w:pPr>
        <w:pStyle w:val="10"/>
        <w:tabs>
          <w:tab w:val="right" w:leader="dot" w:pos="9742"/>
        </w:tabs>
        <w:spacing w:line="360" w:lineRule="auto"/>
        <w:rPr>
          <w:rFonts w:ascii="仿宋_GB2312" w:hAnsi="仿宋" w:eastAsia="仿宋_GB2312"/>
          <w:sz w:val="44"/>
          <w:szCs w:val="32"/>
        </w:rPr>
      </w:pPr>
      <w:r>
        <w:rPr>
          <w:rFonts w:hint="eastAsia" w:ascii="仿宋_GB2312" w:hAnsi="仿宋_GB2312" w:eastAsia="仿宋_GB2312" w:cs="仿宋_GB2312"/>
          <w:sz w:val="32"/>
          <w:szCs w:val="48"/>
        </w:rPr>
        <w:fldChar w:fldCharType="end"/>
      </w:r>
    </w:p>
    <w:p/>
    <w:p/>
    <w:p/>
    <w:p/>
    <w:p/>
    <w:p/>
    <w:p>
      <w:pPr>
        <w:pStyle w:val="2"/>
        <w:spacing w:line="360" w:lineRule="auto"/>
        <w:jc w:val="both"/>
        <w:rPr>
          <w:rFonts w:ascii="仿宋" w:hAnsi="仿宋" w:eastAsia="仿宋"/>
        </w:rPr>
      </w:pPr>
      <w:bookmarkStart w:id="0" w:name="_Toc26200"/>
      <w:r>
        <w:rPr>
          <w:rFonts w:hint="eastAsia" w:ascii="仿宋" w:hAnsi="仿宋" w:eastAsia="仿宋"/>
        </w:rPr>
        <w:t>第一章</w:t>
      </w:r>
      <w:r>
        <w:rPr>
          <w:rFonts w:ascii="仿宋" w:hAnsi="仿宋" w:eastAsia="仿宋"/>
        </w:rPr>
        <w:t xml:space="preserve"> </w:t>
      </w:r>
      <w:r>
        <w:rPr>
          <w:rFonts w:hint="eastAsia" w:ascii="仿宋" w:hAnsi="仿宋" w:eastAsia="仿宋"/>
        </w:rPr>
        <w:t>竞争性磋商公告</w:t>
      </w:r>
      <w:bookmarkEnd w:id="0"/>
    </w:p>
    <w:p>
      <w:pPr>
        <w:ind w:firstLine="560" w:firstLineChars="200"/>
        <w:jc w:val="left"/>
        <w:rPr>
          <w:rFonts w:ascii="仿宋" w:hAnsi="仿宋" w:eastAsia="仿宋"/>
          <w:sz w:val="28"/>
          <w:szCs w:val="28"/>
        </w:rPr>
      </w:pPr>
      <w:r>
        <w:rPr>
          <w:rFonts w:hint="eastAsia" w:ascii="仿宋" w:hAnsi="仿宋" w:eastAsia="仿宋"/>
          <w:sz w:val="28"/>
          <w:szCs w:val="28"/>
        </w:rPr>
        <w:t>鄂尔多斯市空港实业有限公司拟采用竞争性磋商的方式对承</w:t>
      </w:r>
      <w:r>
        <w:rPr>
          <w:rFonts w:hint="eastAsia" w:ascii="仿宋" w:hAnsi="仿宋" w:eastAsia="仿宋"/>
          <w:sz w:val="28"/>
          <w:szCs w:val="28"/>
          <w:lang w:eastAsia="zh-CN"/>
        </w:rPr>
        <w:t>外接项目物业服务采购项目</w:t>
      </w:r>
      <w:r>
        <w:rPr>
          <w:rFonts w:hint="eastAsia" w:ascii="仿宋" w:hAnsi="仿宋" w:eastAsia="仿宋"/>
          <w:sz w:val="28"/>
          <w:szCs w:val="28"/>
        </w:rPr>
        <w:t>进行采购，现邀请符合条件的供应商前来参与此次采购活动。</w:t>
      </w:r>
    </w:p>
    <w:p>
      <w:pPr>
        <w:pStyle w:val="3"/>
        <w:spacing w:line="360" w:lineRule="auto"/>
        <w:ind w:firstLine="562" w:firstLineChars="200"/>
        <w:rPr>
          <w:rFonts w:ascii="仿宋" w:hAnsi="仿宋" w:eastAsia="仿宋"/>
          <w:sz w:val="28"/>
          <w:szCs w:val="28"/>
        </w:rPr>
      </w:pPr>
      <w:bookmarkStart w:id="1" w:name="_Toc18941"/>
      <w:r>
        <w:rPr>
          <w:rFonts w:hint="eastAsia" w:ascii="仿宋" w:hAnsi="仿宋" w:eastAsia="仿宋"/>
          <w:sz w:val="28"/>
          <w:szCs w:val="28"/>
        </w:rPr>
        <w:t>一、项目概况</w:t>
      </w:r>
      <w:bookmarkEnd w:id="1"/>
    </w:p>
    <w:p>
      <w:pPr>
        <w:ind w:firstLine="560" w:firstLineChars="200"/>
        <w:rPr>
          <w:rFonts w:hint="eastAsia"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（一）项目名称：外接项目物业服务采购</w:t>
      </w:r>
    </w:p>
    <w:p>
      <w:pPr>
        <w:pStyle w:val="6"/>
        <w:spacing w:line="360" w:lineRule="auto"/>
        <w:ind w:firstLine="560" w:firstLineChars="200"/>
        <w:rPr>
          <w:rFonts w:ascii="仿宋" w:hAnsi="仿宋" w:eastAsia="仿宋"/>
          <w:kern w:val="2"/>
          <w:sz w:val="28"/>
          <w:szCs w:val="28"/>
        </w:rPr>
      </w:pPr>
      <w:r>
        <w:rPr>
          <w:rFonts w:hint="eastAsia" w:ascii="仿宋" w:hAnsi="仿宋" w:eastAsia="仿宋"/>
          <w:kern w:val="2"/>
          <w:sz w:val="28"/>
          <w:szCs w:val="28"/>
        </w:rPr>
        <w:t>（二）项目编号：CG/SYGS-19-00</w:t>
      </w:r>
      <w:r>
        <w:rPr>
          <w:rFonts w:hint="eastAsia" w:ascii="仿宋" w:hAnsi="仿宋" w:eastAsia="仿宋"/>
          <w:kern w:val="2"/>
          <w:sz w:val="28"/>
          <w:szCs w:val="28"/>
          <w:lang w:val="en-US" w:eastAsia="zh-CN"/>
        </w:rPr>
        <w:t>6</w:t>
      </w:r>
      <w:r>
        <w:rPr>
          <w:rFonts w:hint="eastAsia" w:ascii="仿宋" w:hAnsi="仿宋" w:eastAsia="仿宋"/>
          <w:kern w:val="2"/>
          <w:sz w:val="28"/>
          <w:szCs w:val="28"/>
        </w:rPr>
        <w:t>-N</w:t>
      </w:r>
    </w:p>
    <w:p>
      <w:pPr>
        <w:pStyle w:val="6"/>
        <w:spacing w:line="360" w:lineRule="auto"/>
        <w:ind w:firstLine="560" w:firstLineChars="200"/>
        <w:rPr>
          <w:rFonts w:ascii="仿宋" w:hAnsi="仿宋" w:eastAsia="仿宋"/>
          <w:kern w:val="2"/>
          <w:sz w:val="28"/>
          <w:szCs w:val="28"/>
        </w:rPr>
      </w:pPr>
      <w:r>
        <w:rPr>
          <w:rFonts w:hint="eastAsia" w:ascii="仿宋" w:hAnsi="仿宋" w:eastAsia="仿宋"/>
          <w:kern w:val="2"/>
          <w:sz w:val="28"/>
          <w:szCs w:val="28"/>
        </w:rPr>
        <w:t>（三）采购人：鄂尔多斯市空港实业有限公司</w:t>
      </w:r>
    </w:p>
    <w:p>
      <w:pPr>
        <w:pStyle w:val="6"/>
        <w:spacing w:line="360" w:lineRule="auto"/>
        <w:ind w:firstLine="560" w:firstLineChars="200"/>
        <w:rPr>
          <w:rFonts w:ascii="仿宋" w:hAnsi="仿宋" w:eastAsia="仿宋"/>
          <w:kern w:val="2"/>
          <w:sz w:val="28"/>
          <w:szCs w:val="28"/>
        </w:rPr>
      </w:pPr>
      <w:r>
        <w:rPr>
          <w:rFonts w:hint="eastAsia" w:ascii="仿宋" w:hAnsi="仿宋" w:eastAsia="仿宋"/>
          <w:kern w:val="2"/>
          <w:sz w:val="28"/>
          <w:szCs w:val="28"/>
        </w:rPr>
        <w:t>（四）资金来源：企业自筹</w:t>
      </w:r>
    </w:p>
    <w:p>
      <w:pPr>
        <w:pStyle w:val="6"/>
        <w:spacing w:line="360" w:lineRule="auto"/>
        <w:ind w:firstLine="560" w:firstLineChars="200"/>
        <w:rPr>
          <w:rFonts w:ascii="仿宋" w:hAnsi="仿宋" w:eastAsia="仿宋"/>
          <w:kern w:val="2"/>
          <w:sz w:val="28"/>
          <w:szCs w:val="28"/>
        </w:rPr>
      </w:pPr>
      <w:r>
        <w:rPr>
          <w:rFonts w:hint="eastAsia" w:ascii="仿宋" w:hAnsi="仿宋" w:eastAsia="仿宋"/>
          <w:kern w:val="2"/>
          <w:sz w:val="28"/>
          <w:szCs w:val="28"/>
        </w:rPr>
        <w:t>（五）采购内容：</w:t>
      </w:r>
    </w:p>
    <w:p>
      <w:pPr>
        <w:ind w:firstLine="560" w:firstLineChars="200"/>
        <w:rPr>
          <w:rFonts w:ascii="仿宋" w:hAnsi="仿宋" w:eastAsia="仿宋"/>
          <w:sz w:val="28"/>
          <w:szCs w:val="28"/>
        </w:rPr>
      </w:pPr>
      <w:r>
        <w:rPr>
          <w:rFonts w:hint="eastAsia" w:ascii="仿宋" w:hAnsi="仿宋" w:eastAsia="仿宋"/>
          <w:kern w:val="2"/>
          <w:sz w:val="28"/>
          <w:szCs w:val="28"/>
        </w:rPr>
        <w:t>1.项目标段：</w:t>
      </w:r>
      <w:r>
        <w:rPr>
          <w:rFonts w:hint="eastAsia" w:ascii="仿宋" w:hAnsi="仿宋" w:eastAsia="仿宋" w:cs="Times New Roman"/>
          <w:kern w:val="2"/>
          <w:sz w:val="28"/>
          <w:szCs w:val="28"/>
          <w:lang w:val="en-US" w:eastAsia="zh-CN" w:bidi="ar-SA"/>
        </w:rPr>
        <w:t>外接项目物业服务采购</w:t>
      </w:r>
      <w:r>
        <w:rPr>
          <w:rFonts w:hint="eastAsia" w:ascii="仿宋" w:hAnsi="仿宋" w:eastAsia="仿宋"/>
          <w:sz w:val="28"/>
          <w:szCs w:val="28"/>
        </w:rPr>
        <w:t>项目</w:t>
      </w:r>
    </w:p>
    <w:p>
      <w:pPr>
        <w:pStyle w:val="6"/>
        <w:spacing w:line="360" w:lineRule="auto"/>
        <w:ind w:firstLine="560" w:firstLineChars="200"/>
        <w:rPr>
          <w:rFonts w:ascii="仿宋" w:hAnsi="仿宋" w:eastAsia="仿宋"/>
          <w:sz w:val="28"/>
          <w:szCs w:val="28"/>
          <w:u w:val="single"/>
        </w:rPr>
      </w:pPr>
      <w:r>
        <w:rPr>
          <w:rFonts w:hint="eastAsia" w:ascii="仿宋" w:hAnsi="仿宋" w:eastAsia="仿宋"/>
          <w:sz w:val="28"/>
          <w:szCs w:val="28"/>
        </w:rPr>
        <w:t>2.项目预算金额：</w:t>
      </w:r>
      <w:r>
        <w:rPr>
          <w:rFonts w:hint="eastAsia" w:ascii="仿宋" w:hAnsi="仿宋" w:eastAsia="仿宋"/>
          <w:sz w:val="28"/>
          <w:szCs w:val="28"/>
          <w:u w:val="single"/>
          <w:lang w:eastAsia="zh-CN"/>
        </w:rPr>
        <w:t>叁拾柒万元</w:t>
      </w:r>
      <w:r>
        <w:rPr>
          <w:rFonts w:hint="eastAsia" w:ascii="仿宋" w:hAnsi="仿宋" w:eastAsia="仿宋"/>
          <w:sz w:val="28"/>
          <w:szCs w:val="28"/>
          <w:u w:val="single"/>
        </w:rPr>
        <w:t>整，小写：</w:t>
      </w:r>
      <w:r>
        <w:rPr>
          <w:rFonts w:hint="eastAsia" w:ascii="仿宋" w:hAnsi="仿宋" w:eastAsia="仿宋"/>
          <w:sz w:val="28"/>
          <w:szCs w:val="28"/>
          <w:u w:val="single"/>
          <w:lang w:val="en-US" w:eastAsia="zh-CN"/>
        </w:rPr>
        <w:t>370</w:t>
      </w:r>
      <w:r>
        <w:rPr>
          <w:rFonts w:hint="eastAsia" w:ascii="仿宋" w:hAnsi="仿宋" w:eastAsia="仿宋"/>
          <w:sz w:val="28"/>
          <w:szCs w:val="28"/>
          <w:u w:val="single"/>
        </w:rPr>
        <w:t>000（含税）</w:t>
      </w:r>
    </w:p>
    <w:p>
      <w:pPr>
        <w:pStyle w:val="6"/>
        <w:spacing w:line="360" w:lineRule="auto"/>
        <w:ind w:firstLine="560" w:firstLineChars="200"/>
        <w:rPr>
          <w:rFonts w:hint="default" w:ascii="仿宋" w:hAnsi="仿宋" w:eastAsia="仿宋"/>
          <w:sz w:val="28"/>
          <w:szCs w:val="28"/>
          <w:lang w:val="en-US" w:eastAsia="zh-CN"/>
        </w:rPr>
      </w:pPr>
      <w:r>
        <w:rPr>
          <w:rFonts w:hint="eastAsia" w:ascii="仿宋" w:hAnsi="仿宋" w:eastAsia="仿宋"/>
          <w:sz w:val="28"/>
          <w:szCs w:val="28"/>
        </w:rPr>
        <w:t>3.服务期限：</w:t>
      </w:r>
      <w:r>
        <w:rPr>
          <w:rFonts w:hint="eastAsia" w:ascii="仿宋" w:hAnsi="仿宋" w:eastAsia="仿宋"/>
          <w:sz w:val="28"/>
          <w:szCs w:val="28"/>
          <w:lang w:eastAsia="zh-CN"/>
        </w:rPr>
        <w:t>自合同签订之日起至</w:t>
      </w:r>
      <w:r>
        <w:rPr>
          <w:rFonts w:hint="eastAsia" w:ascii="仿宋" w:hAnsi="仿宋" w:eastAsia="仿宋"/>
          <w:sz w:val="28"/>
          <w:szCs w:val="28"/>
          <w:lang w:val="en-US" w:eastAsia="zh-CN"/>
        </w:rPr>
        <w:t>2020年5月7日。</w:t>
      </w:r>
    </w:p>
    <w:p>
      <w:pPr>
        <w:pStyle w:val="3"/>
        <w:spacing w:line="360" w:lineRule="auto"/>
        <w:ind w:firstLine="562" w:firstLineChars="200"/>
        <w:rPr>
          <w:rFonts w:ascii="仿宋" w:hAnsi="仿宋" w:eastAsia="仿宋"/>
          <w:sz w:val="28"/>
          <w:szCs w:val="28"/>
        </w:rPr>
      </w:pPr>
      <w:bookmarkStart w:id="2" w:name="_Toc5570"/>
      <w:r>
        <w:rPr>
          <w:rFonts w:hint="eastAsia" w:ascii="仿宋" w:hAnsi="仿宋" w:eastAsia="仿宋"/>
          <w:sz w:val="28"/>
          <w:szCs w:val="28"/>
        </w:rPr>
        <w:t>二、供应商的资格要求</w:t>
      </w:r>
      <w:bookmarkEnd w:id="2"/>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（一）供应商应符合《中华人民共和国政府采购法》第二十二条规定的条件；</w:t>
      </w:r>
    </w:p>
    <w:p>
      <w:pPr>
        <w:pStyle w:val="3"/>
        <w:spacing w:line="360" w:lineRule="auto"/>
        <w:ind w:firstLine="562" w:firstLineChars="200"/>
        <w:rPr>
          <w:rFonts w:ascii="仿宋" w:hAnsi="仿宋" w:eastAsia="仿宋"/>
          <w:sz w:val="28"/>
          <w:szCs w:val="28"/>
        </w:rPr>
      </w:pPr>
      <w:bookmarkStart w:id="3" w:name="_Toc2435"/>
      <w:r>
        <w:rPr>
          <w:rFonts w:hint="eastAsia" w:ascii="仿宋" w:hAnsi="仿宋" w:eastAsia="仿宋"/>
          <w:sz w:val="28"/>
          <w:szCs w:val="28"/>
        </w:rPr>
        <w:t>三、获取采购文件的时间、地点、方式</w:t>
      </w:r>
      <w:bookmarkEnd w:id="3"/>
    </w:p>
    <w:p>
      <w:pPr>
        <w:spacing w:line="360" w:lineRule="auto"/>
        <w:ind w:firstLine="560" w:firstLineChars="200"/>
        <w:textAlignment w:val="baseline"/>
        <w:rPr>
          <w:rFonts w:ascii="仿宋" w:hAnsi="仿宋" w:eastAsia="仿宋"/>
          <w:sz w:val="28"/>
          <w:szCs w:val="28"/>
        </w:rPr>
      </w:pPr>
      <w:r>
        <w:rPr>
          <w:rFonts w:hint="eastAsia" w:ascii="仿宋" w:hAnsi="仿宋" w:eastAsia="仿宋"/>
          <w:sz w:val="28"/>
          <w:szCs w:val="28"/>
        </w:rPr>
        <w:t>符合上述条件的供应商可于2019年</w:t>
      </w:r>
      <w:r>
        <w:rPr>
          <w:rFonts w:hint="eastAsia" w:ascii="仿宋" w:hAnsi="仿宋" w:eastAsia="仿宋"/>
          <w:color w:val="000000"/>
          <w:sz w:val="28"/>
          <w:szCs w:val="28"/>
          <w:lang w:val="en-US" w:eastAsia="zh-CN"/>
        </w:rPr>
        <w:t>6</w:t>
      </w:r>
      <w:r>
        <w:rPr>
          <w:rFonts w:hint="eastAsia" w:ascii="仿宋" w:hAnsi="仿宋" w:eastAsia="仿宋"/>
          <w:sz w:val="28"/>
          <w:szCs w:val="28"/>
        </w:rPr>
        <w:t>月</w:t>
      </w:r>
      <w:r>
        <w:rPr>
          <w:rFonts w:hint="eastAsia" w:ascii="仿宋" w:hAnsi="仿宋" w:eastAsia="仿宋"/>
          <w:color w:val="000000"/>
          <w:sz w:val="28"/>
          <w:szCs w:val="28"/>
          <w:lang w:val="en-US" w:eastAsia="zh-CN"/>
        </w:rPr>
        <w:t>12</w:t>
      </w:r>
      <w:r>
        <w:rPr>
          <w:rFonts w:hint="eastAsia" w:ascii="仿宋" w:hAnsi="仿宋" w:eastAsia="仿宋"/>
          <w:sz w:val="28"/>
          <w:szCs w:val="28"/>
        </w:rPr>
        <w:t>日起登录鄂尔多斯机场管理集团有限公司网站页面（网址：</w:t>
      </w:r>
      <w:r>
        <w:rPr>
          <w:rFonts w:ascii="仿宋" w:hAnsi="仿宋" w:eastAsia="仿宋"/>
          <w:sz w:val="28"/>
          <w:szCs w:val="28"/>
        </w:rPr>
        <w:t>http://ordosairport.com/</w:t>
      </w:r>
      <w:r>
        <w:rPr>
          <w:rFonts w:hint="eastAsia" w:ascii="仿宋" w:hAnsi="仿宋" w:eastAsia="仿宋"/>
          <w:sz w:val="28"/>
          <w:szCs w:val="28"/>
        </w:rPr>
        <w:t>），点击“公告”栏中的“招标信息”栏，查询采购信息，点击信息公告页面左下角“附件”即可浏览、下载采购文件。</w:t>
      </w:r>
    </w:p>
    <w:p>
      <w:pPr>
        <w:pStyle w:val="3"/>
        <w:spacing w:line="360" w:lineRule="auto"/>
        <w:ind w:firstLine="562" w:firstLineChars="200"/>
        <w:rPr>
          <w:rFonts w:ascii="仿宋" w:hAnsi="仿宋" w:eastAsia="仿宋"/>
          <w:sz w:val="28"/>
          <w:szCs w:val="28"/>
        </w:rPr>
      </w:pPr>
      <w:bookmarkStart w:id="4" w:name="_Toc14207"/>
      <w:r>
        <w:rPr>
          <w:rFonts w:hint="eastAsia" w:ascii="仿宋" w:hAnsi="仿宋" w:eastAsia="仿宋"/>
          <w:sz w:val="28"/>
          <w:szCs w:val="28"/>
        </w:rPr>
        <w:t>四、递交响应文件截止（评标）时间、地点</w:t>
      </w:r>
      <w:bookmarkEnd w:id="4"/>
    </w:p>
    <w:p>
      <w:pPr>
        <w:spacing w:line="360" w:lineRule="auto"/>
        <w:ind w:firstLine="560" w:firstLineChars="200"/>
        <w:rPr>
          <w:rFonts w:ascii="仿宋" w:hAnsi="仿宋" w:eastAsia="仿宋"/>
          <w:sz w:val="28"/>
          <w:szCs w:val="28"/>
        </w:rPr>
      </w:pPr>
      <w:r>
        <w:rPr>
          <w:rFonts w:hint="eastAsia" w:ascii="仿宋" w:hAnsi="仿宋" w:eastAsia="仿宋"/>
          <w:sz w:val="28"/>
          <w:szCs w:val="28"/>
        </w:rPr>
        <w:t>递交响应文件截止（评标）时间：2019年</w:t>
      </w:r>
      <w:r>
        <w:rPr>
          <w:rFonts w:hint="eastAsia" w:ascii="仿宋" w:hAnsi="仿宋" w:eastAsia="仿宋"/>
          <w:sz w:val="28"/>
          <w:szCs w:val="28"/>
          <w:lang w:val="en-US" w:eastAsia="zh-CN"/>
        </w:rPr>
        <w:t>6</w:t>
      </w:r>
      <w:r>
        <w:rPr>
          <w:rFonts w:hint="eastAsia" w:ascii="仿宋" w:hAnsi="仿宋" w:eastAsia="仿宋"/>
          <w:sz w:val="28"/>
          <w:szCs w:val="28"/>
        </w:rPr>
        <w:t>月</w:t>
      </w:r>
      <w:r>
        <w:rPr>
          <w:rFonts w:hint="eastAsia" w:ascii="仿宋" w:hAnsi="仿宋" w:eastAsia="仿宋"/>
          <w:sz w:val="28"/>
          <w:szCs w:val="28"/>
          <w:lang w:val="en-US" w:eastAsia="zh-CN"/>
        </w:rPr>
        <w:t>18</w:t>
      </w:r>
      <w:r>
        <w:rPr>
          <w:rFonts w:hint="eastAsia" w:ascii="仿宋" w:hAnsi="仿宋" w:eastAsia="仿宋"/>
          <w:sz w:val="28"/>
          <w:szCs w:val="28"/>
        </w:rPr>
        <w:t>日9:30</w:t>
      </w:r>
    </w:p>
    <w:p>
      <w:pPr>
        <w:spacing w:line="360" w:lineRule="auto"/>
        <w:ind w:firstLine="560" w:firstLineChars="200"/>
        <w:rPr>
          <w:rFonts w:ascii="仿宋" w:hAnsi="仿宋" w:eastAsia="仿宋"/>
          <w:sz w:val="28"/>
          <w:szCs w:val="28"/>
        </w:rPr>
      </w:pPr>
      <w:r>
        <w:rPr>
          <w:rFonts w:hint="eastAsia" w:ascii="仿宋" w:hAnsi="仿宋" w:eastAsia="仿宋"/>
          <w:sz w:val="28"/>
          <w:szCs w:val="28"/>
        </w:rPr>
        <w:t>响应文件时间开标及评标地点：2019年</w:t>
      </w:r>
      <w:r>
        <w:rPr>
          <w:rFonts w:hint="eastAsia" w:ascii="仿宋" w:hAnsi="仿宋" w:eastAsia="仿宋"/>
          <w:sz w:val="28"/>
          <w:szCs w:val="28"/>
          <w:lang w:val="en-US" w:eastAsia="zh-CN"/>
        </w:rPr>
        <w:t>6</w:t>
      </w:r>
      <w:r>
        <w:rPr>
          <w:rFonts w:hint="eastAsia" w:ascii="仿宋" w:hAnsi="仿宋" w:eastAsia="仿宋"/>
          <w:sz w:val="28"/>
          <w:szCs w:val="28"/>
        </w:rPr>
        <w:t>月</w:t>
      </w:r>
      <w:r>
        <w:rPr>
          <w:rFonts w:hint="eastAsia" w:ascii="仿宋" w:hAnsi="仿宋" w:eastAsia="仿宋"/>
          <w:sz w:val="28"/>
          <w:szCs w:val="28"/>
          <w:lang w:val="en-US" w:eastAsia="zh-CN"/>
        </w:rPr>
        <w:t>18</w:t>
      </w:r>
      <w:r>
        <w:rPr>
          <w:rFonts w:hint="eastAsia" w:ascii="仿宋" w:hAnsi="仿宋" w:eastAsia="仿宋"/>
          <w:sz w:val="28"/>
          <w:szCs w:val="28"/>
        </w:rPr>
        <w:t>日9:30在鄂尔多斯国际机场综合办公楼2楼208开标室。</w:t>
      </w:r>
    </w:p>
    <w:p>
      <w:pPr>
        <w:pStyle w:val="3"/>
        <w:spacing w:line="360" w:lineRule="auto"/>
        <w:ind w:firstLine="551" w:firstLineChars="196"/>
        <w:rPr>
          <w:rFonts w:ascii="仿宋" w:hAnsi="仿宋" w:eastAsia="仿宋"/>
          <w:sz w:val="28"/>
          <w:szCs w:val="28"/>
        </w:rPr>
      </w:pPr>
      <w:bookmarkStart w:id="5" w:name="_Toc9859"/>
      <w:r>
        <w:rPr>
          <w:rFonts w:hint="eastAsia" w:ascii="仿宋" w:hAnsi="仿宋" w:eastAsia="仿宋"/>
          <w:sz w:val="28"/>
          <w:szCs w:val="28"/>
        </w:rPr>
        <w:t>五、联系方式</w:t>
      </w:r>
      <w:bookmarkEnd w:id="5"/>
    </w:p>
    <w:p>
      <w:pPr>
        <w:pStyle w:val="6"/>
        <w:spacing w:line="360" w:lineRule="auto"/>
        <w:ind w:firstLine="560" w:firstLineChars="200"/>
        <w:rPr>
          <w:rFonts w:ascii="仿宋" w:hAnsi="仿宋" w:eastAsia="仿宋"/>
          <w:kern w:val="2"/>
          <w:sz w:val="28"/>
          <w:szCs w:val="28"/>
        </w:rPr>
      </w:pPr>
      <w:r>
        <w:rPr>
          <w:rFonts w:hint="eastAsia" w:ascii="仿宋" w:hAnsi="仿宋" w:eastAsia="仿宋"/>
          <w:kern w:val="2"/>
          <w:sz w:val="28"/>
          <w:szCs w:val="28"/>
        </w:rPr>
        <w:t>联</w:t>
      </w:r>
      <w:r>
        <w:rPr>
          <w:rFonts w:ascii="仿宋" w:hAnsi="仿宋" w:eastAsia="仿宋"/>
          <w:kern w:val="2"/>
          <w:sz w:val="28"/>
          <w:szCs w:val="28"/>
        </w:rPr>
        <w:t xml:space="preserve"> </w:t>
      </w:r>
      <w:r>
        <w:rPr>
          <w:rFonts w:hint="eastAsia" w:ascii="仿宋" w:hAnsi="仿宋" w:eastAsia="仿宋"/>
          <w:kern w:val="2"/>
          <w:sz w:val="28"/>
          <w:szCs w:val="28"/>
        </w:rPr>
        <w:t>系</w:t>
      </w:r>
      <w:r>
        <w:rPr>
          <w:rFonts w:ascii="仿宋" w:hAnsi="仿宋" w:eastAsia="仿宋"/>
          <w:kern w:val="2"/>
          <w:sz w:val="28"/>
          <w:szCs w:val="28"/>
        </w:rPr>
        <w:t xml:space="preserve"> </w:t>
      </w:r>
      <w:r>
        <w:rPr>
          <w:rFonts w:hint="eastAsia" w:ascii="仿宋" w:hAnsi="仿宋" w:eastAsia="仿宋"/>
          <w:kern w:val="2"/>
          <w:sz w:val="28"/>
          <w:szCs w:val="28"/>
        </w:rPr>
        <w:t>人：何先生</w:t>
      </w:r>
    </w:p>
    <w:p>
      <w:pPr>
        <w:pStyle w:val="6"/>
        <w:spacing w:line="360" w:lineRule="auto"/>
        <w:ind w:firstLine="560" w:firstLineChars="200"/>
        <w:rPr>
          <w:rFonts w:ascii="仿宋" w:hAnsi="仿宋" w:eastAsia="仿宋"/>
          <w:kern w:val="2"/>
          <w:sz w:val="28"/>
          <w:szCs w:val="28"/>
        </w:rPr>
      </w:pPr>
      <w:r>
        <w:rPr>
          <w:rFonts w:hint="eastAsia" w:ascii="仿宋" w:hAnsi="仿宋" w:eastAsia="仿宋"/>
          <w:kern w:val="2"/>
          <w:sz w:val="28"/>
          <w:szCs w:val="28"/>
        </w:rPr>
        <w:t>联系电话：</w:t>
      </w:r>
      <w:r>
        <w:rPr>
          <w:rFonts w:ascii="仿宋" w:hAnsi="仿宋" w:eastAsia="仿宋"/>
          <w:kern w:val="2"/>
          <w:sz w:val="28"/>
          <w:szCs w:val="28"/>
        </w:rPr>
        <w:t>0477-38558</w:t>
      </w:r>
      <w:r>
        <w:rPr>
          <w:rFonts w:hint="eastAsia" w:ascii="仿宋" w:hAnsi="仿宋" w:eastAsia="仿宋"/>
          <w:kern w:val="2"/>
          <w:sz w:val="28"/>
          <w:szCs w:val="28"/>
          <w:lang w:val="en-US" w:eastAsia="zh-CN"/>
        </w:rPr>
        <w:t>23</w:t>
      </w:r>
      <w:r>
        <w:rPr>
          <w:rFonts w:ascii="仿宋" w:hAnsi="仿宋" w:eastAsia="仿宋"/>
          <w:kern w:val="2"/>
          <w:sz w:val="28"/>
          <w:szCs w:val="28"/>
        </w:rPr>
        <w:t xml:space="preserve"> </w:t>
      </w:r>
    </w:p>
    <w:p>
      <w:pPr>
        <w:spacing w:line="360" w:lineRule="auto"/>
        <w:ind w:firstLine="560" w:firstLineChars="200"/>
        <w:rPr>
          <w:rFonts w:ascii="仿宋" w:hAnsi="仿宋" w:eastAsia="仿宋"/>
          <w:sz w:val="28"/>
          <w:szCs w:val="28"/>
        </w:rPr>
      </w:pPr>
      <w:r>
        <w:rPr>
          <w:rFonts w:hint="eastAsia" w:ascii="仿宋" w:hAnsi="仿宋" w:eastAsia="仿宋"/>
          <w:sz w:val="28"/>
          <w:szCs w:val="28"/>
        </w:rPr>
        <w:t>地</w:t>
      </w:r>
      <w:r>
        <w:rPr>
          <w:rFonts w:ascii="仿宋" w:hAnsi="仿宋" w:eastAsia="仿宋"/>
          <w:sz w:val="28"/>
          <w:szCs w:val="28"/>
        </w:rPr>
        <w:t xml:space="preserve">    </w:t>
      </w:r>
      <w:r>
        <w:rPr>
          <w:rFonts w:hint="eastAsia" w:ascii="仿宋" w:hAnsi="仿宋" w:eastAsia="仿宋"/>
          <w:sz w:val="28"/>
          <w:szCs w:val="28"/>
        </w:rPr>
        <w:t>址：鄂尔多斯市伊金霍洛旗飞机场</w:t>
      </w: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pStyle w:val="2"/>
        <w:spacing w:line="360" w:lineRule="auto"/>
        <w:rPr>
          <w:rFonts w:ascii="仿宋" w:hAnsi="仿宋" w:eastAsia="仿宋"/>
        </w:rPr>
      </w:pPr>
      <w:bookmarkStart w:id="6" w:name="_Toc28800"/>
      <w:r>
        <w:rPr>
          <w:rFonts w:hint="eastAsia" w:ascii="仿宋" w:hAnsi="仿宋" w:eastAsia="仿宋"/>
        </w:rPr>
        <w:t>第二章</w:t>
      </w:r>
      <w:r>
        <w:rPr>
          <w:rFonts w:ascii="仿宋" w:hAnsi="仿宋" w:eastAsia="仿宋"/>
        </w:rPr>
        <w:t xml:space="preserve"> </w:t>
      </w:r>
      <w:r>
        <w:rPr>
          <w:rFonts w:hint="eastAsia" w:ascii="仿宋" w:hAnsi="仿宋" w:eastAsia="仿宋"/>
        </w:rPr>
        <w:t>采购内容与技术要求</w:t>
      </w:r>
      <w:bookmarkEnd w:id="6"/>
    </w:p>
    <w:p>
      <w:pPr>
        <w:spacing w:line="360" w:lineRule="auto"/>
        <w:ind w:firstLine="562" w:firstLineChars="200"/>
        <w:jc w:val="left"/>
        <w:outlineLvl w:val="1"/>
        <w:rPr>
          <w:rFonts w:ascii="仿宋" w:hAnsi="仿宋" w:eastAsia="仿宋" w:cs="Cambria"/>
          <w:b/>
          <w:bCs/>
          <w:kern w:val="0"/>
          <w:sz w:val="28"/>
          <w:szCs w:val="32"/>
        </w:rPr>
      </w:pPr>
      <w:bookmarkStart w:id="7" w:name="_Toc1949"/>
      <w:r>
        <w:rPr>
          <w:rFonts w:hint="eastAsia" w:ascii="仿宋" w:hAnsi="仿宋" w:eastAsia="仿宋" w:cs="Cambria"/>
          <w:b/>
          <w:bCs/>
          <w:kern w:val="0"/>
          <w:sz w:val="28"/>
          <w:szCs w:val="32"/>
        </w:rPr>
        <w:t>一、适用范围</w:t>
      </w:r>
      <w:bookmarkEnd w:id="7"/>
    </w:p>
    <w:p>
      <w:pPr>
        <w:spacing w:line="360" w:lineRule="auto"/>
        <w:ind w:firstLine="560" w:firstLineChars="200"/>
        <w:jc w:val="left"/>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本招标文件仅适用于本次招标公告中所涉及的项目和内容。</w:t>
      </w:r>
    </w:p>
    <w:p>
      <w:pPr>
        <w:spacing w:line="360" w:lineRule="auto"/>
        <w:ind w:firstLine="560" w:firstLineChars="200"/>
        <w:jc w:val="left"/>
        <w:rPr>
          <w:rFonts w:hint="eastAsia" w:ascii="仿宋" w:hAnsi="仿宋" w:eastAsia="仿宋"/>
          <w:sz w:val="28"/>
          <w:szCs w:val="28"/>
        </w:rPr>
      </w:pPr>
      <w:r>
        <w:rPr>
          <w:rFonts w:ascii="仿宋" w:hAnsi="仿宋" w:eastAsia="仿宋"/>
          <w:sz w:val="28"/>
          <w:szCs w:val="28"/>
        </w:rPr>
        <w:t>2.</w:t>
      </w:r>
      <w:r>
        <w:rPr>
          <w:rFonts w:hint="eastAsia" w:ascii="仿宋" w:hAnsi="仿宋" w:eastAsia="仿宋"/>
          <w:sz w:val="28"/>
          <w:szCs w:val="28"/>
        </w:rPr>
        <w:t>本招标文件的解释权为采购人和采购代理机构。</w:t>
      </w:r>
      <w:bookmarkStart w:id="8" w:name="_Toc406421928"/>
    </w:p>
    <w:p>
      <w:pPr>
        <w:spacing w:line="360" w:lineRule="auto"/>
        <w:ind w:firstLine="562" w:firstLineChars="200"/>
        <w:jc w:val="left"/>
        <w:outlineLvl w:val="1"/>
        <w:rPr>
          <w:rFonts w:hint="eastAsia" w:ascii="仿宋" w:hAnsi="仿宋" w:eastAsia="仿宋" w:cs="Cambria"/>
          <w:b/>
          <w:bCs/>
          <w:kern w:val="0"/>
          <w:sz w:val="28"/>
          <w:szCs w:val="32"/>
        </w:rPr>
      </w:pPr>
      <w:bookmarkStart w:id="9" w:name="_Toc29814"/>
      <w:r>
        <w:rPr>
          <w:rFonts w:hint="eastAsia" w:ascii="仿宋" w:hAnsi="仿宋" w:eastAsia="仿宋" w:cs="Cambria"/>
          <w:b/>
          <w:bCs/>
          <w:kern w:val="0"/>
          <w:sz w:val="28"/>
          <w:szCs w:val="32"/>
          <w:lang w:eastAsia="zh-CN"/>
        </w:rPr>
        <w:t>二、</w:t>
      </w:r>
      <w:r>
        <w:rPr>
          <w:rFonts w:hint="eastAsia" w:ascii="仿宋" w:hAnsi="仿宋" w:eastAsia="仿宋" w:cs="Cambria"/>
          <w:b/>
          <w:bCs/>
          <w:kern w:val="0"/>
          <w:sz w:val="28"/>
          <w:szCs w:val="32"/>
        </w:rPr>
        <w:t>项目说明</w:t>
      </w:r>
      <w:bookmarkEnd w:id="8"/>
      <w:bookmarkEnd w:id="9"/>
    </w:p>
    <w:p>
      <w:pPr>
        <w:spacing w:beforeLines="50" w:line="360" w:lineRule="auto"/>
        <w:ind w:firstLine="602" w:firstLineChars="200"/>
        <w:rPr>
          <w:rFonts w:hint="eastAsia" w:ascii="仿宋_GB2312" w:eastAsia="仿宋_GB2312"/>
          <w:b/>
          <w:bCs/>
          <w:color w:val="000000"/>
          <w:sz w:val="30"/>
          <w:szCs w:val="30"/>
          <w:lang w:eastAsia="zh-CN"/>
        </w:rPr>
      </w:pPr>
      <w:r>
        <w:rPr>
          <w:rFonts w:hint="eastAsia" w:ascii="仿宋_GB2312" w:eastAsia="仿宋_GB2312"/>
          <w:b/>
          <w:bCs/>
          <w:color w:val="000000"/>
          <w:sz w:val="30"/>
          <w:szCs w:val="30"/>
          <w:lang w:val="en-US" w:eastAsia="zh-CN"/>
        </w:rPr>
        <w:t>（一）</w:t>
      </w:r>
      <w:r>
        <w:rPr>
          <w:rFonts w:hint="eastAsia" w:ascii="仿宋_GB2312" w:eastAsia="仿宋_GB2312"/>
          <w:b/>
          <w:bCs/>
          <w:color w:val="000000"/>
          <w:sz w:val="30"/>
          <w:szCs w:val="30"/>
          <w:lang w:eastAsia="zh-CN"/>
        </w:rPr>
        <w:t>项目基本情况</w:t>
      </w:r>
    </w:p>
    <w:p>
      <w:pPr>
        <w:keepNext w:val="0"/>
        <w:keepLines w:val="0"/>
        <w:pageBreakBefore w:val="0"/>
        <w:widowControl w:val="0"/>
        <w:kinsoku/>
        <w:wordWrap/>
        <w:overflowPunct/>
        <w:topLinePunct w:val="0"/>
        <w:autoSpaceDE/>
        <w:autoSpaceDN/>
        <w:bidi w:val="0"/>
        <w:adjustRightInd/>
        <w:snapToGrid/>
        <w:spacing w:beforeLines="50" w:line="560" w:lineRule="exact"/>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（1）负责</w:t>
      </w:r>
      <w:r>
        <w:rPr>
          <w:rFonts w:hint="eastAsia" w:ascii="仿宋" w:hAnsi="仿宋" w:eastAsia="仿宋" w:cs="仿宋"/>
          <w:kern w:val="0"/>
          <w:sz w:val="28"/>
          <w:szCs w:val="28"/>
          <w:lang w:eastAsia="zh-CN"/>
        </w:rPr>
        <w:t>外接学校项目</w:t>
      </w:r>
      <w:r>
        <w:rPr>
          <w:rFonts w:hint="eastAsia" w:ascii="仿宋" w:hAnsi="仿宋" w:eastAsia="仿宋" w:cs="仿宋"/>
          <w:kern w:val="0"/>
          <w:sz w:val="28"/>
          <w:szCs w:val="28"/>
        </w:rPr>
        <w:t>的环境清洁保洁服务、保安服务、</w:t>
      </w:r>
      <w:r>
        <w:rPr>
          <w:rFonts w:hint="eastAsia" w:ascii="仿宋" w:hAnsi="仿宋" w:eastAsia="仿宋" w:cs="仿宋"/>
          <w:kern w:val="0"/>
          <w:sz w:val="28"/>
          <w:szCs w:val="28"/>
          <w:lang w:eastAsia="zh-CN"/>
        </w:rPr>
        <w:t>学生住宿管理</w:t>
      </w:r>
      <w:r>
        <w:rPr>
          <w:rFonts w:hint="eastAsia" w:ascii="仿宋" w:hAnsi="仿宋" w:eastAsia="仿宋" w:cs="仿宋"/>
          <w:kern w:val="0"/>
          <w:sz w:val="28"/>
          <w:szCs w:val="28"/>
        </w:rPr>
        <w:t>服务。</w:t>
      </w:r>
    </w:p>
    <w:p>
      <w:pPr>
        <w:keepNext w:val="0"/>
        <w:keepLines w:val="0"/>
        <w:pageBreakBefore w:val="0"/>
        <w:widowControl w:val="0"/>
        <w:kinsoku/>
        <w:wordWrap/>
        <w:overflowPunct/>
        <w:topLinePunct w:val="0"/>
        <w:autoSpaceDE/>
        <w:autoSpaceDN/>
        <w:bidi w:val="0"/>
        <w:adjustRightInd/>
        <w:snapToGrid/>
        <w:spacing w:beforeLines="50" w:line="560" w:lineRule="exact"/>
        <w:ind w:firstLine="560" w:firstLineChars="200"/>
        <w:textAlignment w:val="auto"/>
        <w:rPr>
          <w:rFonts w:hint="eastAsia" w:ascii="仿宋" w:hAnsi="仿宋" w:eastAsia="仿宋" w:cs="仿宋"/>
          <w:kern w:val="0"/>
          <w:sz w:val="28"/>
          <w:szCs w:val="28"/>
          <w:lang w:eastAsia="zh-CN"/>
        </w:rPr>
      </w:pPr>
      <w:r>
        <w:rPr>
          <w:rFonts w:hint="eastAsia" w:ascii="仿宋" w:hAnsi="仿宋" w:eastAsia="仿宋" w:cs="仿宋"/>
          <w:kern w:val="0"/>
          <w:sz w:val="28"/>
          <w:szCs w:val="28"/>
        </w:rPr>
        <w:t>（2）服务人员配备人数要求</w:t>
      </w:r>
      <w:r>
        <w:rPr>
          <w:rFonts w:hint="eastAsia" w:ascii="仿宋" w:hAnsi="仿宋" w:eastAsia="仿宋" w:cs="仿宋"/>
          <w:kern w:val="0"/>
          <w:sz w:val="28"/>
          <w:szCs w:val="28"/>
          <w:lang w:eastAsia="zh-CN"/>
        </w:rPr>
        <w:t>如下：</w:t>
      </w:r>
    </w:p>
    <w:tbl>
      <w:tblPr>
        <w:tblStyle w:val="13"/>
        <w:tblW w:w="9295" w:type="dxa"/>
        <w:jc w:val="center"/>
        <w:tblInd w:w="-55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2"/>
        <w:gridCol w:w="1233"/>
        <w:gridCol w:w="1000"/>
        <w:gridCol w:w="61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912" w:type="dxa"/>
            <w:tcBorders>
              <w:top w:val="single" w:color="auto" w:sz="4" w:space="0"/>
              <w:left w:val="single" w:color="auto" w:sz="4" w:space="0"/>
              <w:bottom w:val="single" w:color="auto" w:sz="4" w:space="0"/>
              <w:right w:val="single" w:color="auto" w:sz="4" w:space="0"/>
              <w:tl2br w:val="nil"/>
              <w:tr2bl w:val="nil"/>
            </w:tcBorders>
          </w:tcPr>
          <w:p>
            <w:pPr>
              <w:pStyle w:val="24"/>
              <w:ind w:firstLine="0" w:firstLineChars="0"/>
              <w:rPr>
                <w:rFonts w:ascii="仿宋" w:hAnsi="仿宋" w:eastAsia="仿宋" w:cs="仿宋"/>
                <w:sz w:val="28"/>
                <w:szCs w:val="28"/>
              </w:rPr>
            </w:pPr>
            <w:r>
              <w:rPr>
                <w:rFonts w:hint="eastAsia" w:ascii="仿宋" w:hAnsi="仿宋" w:eastAsia="仿宋" w:cs="仿宋"/>
                <w:sz w:val="28"/>
                <w:szCs w:val="28"/>
              </w:rPr>
              <w:t>序号</w:t>
            </w:r>
          </w:p>
        </w:tc>
        <w:tc>
          <w:tcPr>
            <w:tcW w:w="1233" w:type="dxa"/>
            <w:tcBorders>
              <w:top w:val="single" w:color="auto" w:sz="4" w:space="0"/>
              <w:left w:val="single" w:color="auto" w:sz="4" w:space="0"/>
              <w:bottom w:val="single" w:color="auto" w:sz="4" w:space="0"/>
              <w:right w:val="single" w:color="auto" w:sz="4" w:space="0"/>
              <w:tl2br w:val="nil"/>
              <w:tr2bl w:val="nil"/>
            </w:tcBorders>
          </w:tcPr>
          <w:p>
            <w:pPr>
              <w:pStyle w:val="24"/>
              <w:ind w:left="0" w:leftChars="0" w:firstLine="0" w:firstLineChars="0"/>
              <w:jc w:val="center"/>
              <w:rPr>
                <w:rFonts w:ascii="仿宋" w:hAnsi="仿宋" w:eastAsia="仿宋" w:cs="仿宋"/>
                <w:sz w:val="28"/>
                <w:szCs w:val="28"/>
              </w:rPr>
            </w:pPr>
            <w:r>
              <w:rPr>
                <w:rFonts w:hint="eastAsia" w:ascii="仿宋" w:hAnsi="仿宋" w:eastAsia="仿宋" w:cs="仿宋"/>
                <w:sz w:val="28"/>
                <w:szCs w:val="28"/>
              </w:rPr>
              <w:t>职位</w:t>
            </w:r>
          </w:p>
        </w:tc>
        <w:tc>
          <w:tcPr>
            <w:tcW w:w="1000" w:type="dxa"/>
            <w:tcBorders>
              <w:top w:val="single" w:color="auto" w:sz="4" w:space="0"/>
              <w:left w:val="single" w:color="auto" w:sz="4" w:space="0"/>
              <w:bottom w:val="single" w:color="auto" w:sz="4" w:space="0"/>
              <w:right w:val="single" w:color="auto" w:sz="4" w:space="0"/>
              <w:tl2br w:val="nil"/>
              <w:tr2bl w:val="nil"/>
            </w:tcBorders>
          </w:tcPr>
          <w:p>
            <w:pPr>
              <w:pStyle w:val="24"/>
              <w:ind w:firstLine="0" w:firstLineChars="0"/>
              <w:jc w:val="center"/>
              <w:rPr>
                <w:rFonts w:ascii="仿宋" w:hAnsi="仿宋" w:eastAsia="仿宋" w:cs="仿宋"/>
                <w:sz w:val="28"/>
                <w:szCs w:val="28"/>
              </w:rPr>
            </w:pPr>
            <w:r>
              <w:rPr>
                <w:rFonts w:hint="eastAsia" w:ascii="仿宋" w:hAnsi="仿宋" w:eastAsia="仿宋" w:cs="仿宋"/>
                <w:sz w:val="28"/>
                <w:szCs w:val="28"/>
              </w:rPr>
              <w:t>人数</w:t>
            </w:r>
          </w:p>
        </w:tc>
        <w:tc>
          <w:tcPr>
            <w:tcW w:w="6150" w:type="dxa"/>
            <w:tcBorders>
              <w:top w:val="single" w:color="auto" w:sz="4" w:space="0"/>
              <w:left w:val="single" w:color="auto" w:sz="4" w:space="0"/>
              <w:bottom w:val="single" w:color="auto" w:sz="4" w:space="0"/>
              <w:right w:val="single" w:color="auto" w:sz="4" w:space="0"/>
              <w:tl2br w:val="nil"/>
              <w:tr2bl w:val="nil"/>
            </w:tcBorders>
          </w:tcPr>
          <w:p>
            <w:pPr>
              <w:pStyle w:val="24"/>
              <w:ind w:firstLine="560"/>
              <w:rPr>
                <w:rFonts w:ascii="仿宋" w:hAnsi="仿宋" w:eastAsia="仿宋" w:cs="仿宋"/>
                <w:sz w:val="28"/>
                <w:szCs w:val="28"/>
              </w:rPr>
            </w:pPr>
            <w:r>
              <w:rPr>
                <w:rFonts w:hint="eastAsia" w:ascii="仿宋" w:hAnsi="仿宋" w:eastAsia="仿宋" w:cs="仿宋"/>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58" w:hRule="atLeast"/>
          <w:jc w:val="center"/>
        </w:trPr>
        <w:tc>
          <w:tcPr>
            <w:tcW w:w="912" w:type="dxa"/>
            <w:tcBorders>
              <w:top w:val="single" w:color="auto" w:sz="4" w:space="0"/>
              <w:left w:val="single" w:color="auto" w:sz="4" w:space="0"/>
              <w:bottom w:val="single" w:color="auto" w:sz="4" w:space="0"/>
              <w:right w:val="single" w:color="auto" w:sz="4" w:space="0"/>
              <w:tl2br w:val="nil"/>
              <w:tr2bl w:val="nil"/>
            </w:tcBorders>
            <w:vAlign w:val="center"/>
          </w:tcPr>
          <w:p>
            <w:pPr>
              <w:pStyle w:val="24"/>
              <w:ind w:firstLine="0" w:firstLineChars="0"/>
              <w:jc w:val="center"/>
              <w:rPr>
                <w:rFonts w:ascii="仿宋" w:hAnsi="仿宋" w:eastAsia="仿宋" w:cs="仿宋"/>
                <w:sz w:val="28"/>
                <w:szCs w:val="28"/>
              </w:rPr>
            </w:pPr>
            <w:r>
              <w:rPr>
                <w:rFonts w:hint="eastAsia" w:ascii="仿宋" w:hAnsi="仿宋" w:eastAsia="仿宋" w:cs="仿宋"/>
                <w:sz w:val="28"/>
                <w:szCs w:val="28"/>
              </w:rPr>
              <w:t>1</w:t>
            </w:r>
          </w:p>
        </w:tc>
        <w:tc>
          <w:tcPr>
            <w:tcW w:w="1233" w:type="dxa"/>
            <w:tcBorders>
              <w:top w:val="single" w:color="auto" w:sz="4" w:space="0"/>
              <w:left w:val="single" w:color="auto" w:sz="4" w:space="0"/>
              <w:bottom w:val="single" w:color="auto" w:sz="4" w:space="0"/>
              <w:right w:val="single" w:color="auto" w:sz="4" w:space="0"/>
              <w:tl2br w:val="nil"/>
              <w:tr2bl w:val="nil"/>
            </w:tcBorders>
            <w:vAlign w:val="center"/>
          </w:tcPr>
          <w:p>
            <w:pPr>
              <w:pStyle w:val="24"/>
              <w:ind w:left="0" w:leftChars="0" w:firstLine="0" w:firstLineChars="0"/>
              <w:jc w:val="center"/>
              <w:rPr>
                <w:rFonts w:ascii="仿宋" w:hAnsi="仿宋" w:eastAsia="仿宋" w:cs="仿宋"/>
                <w:sz w:val="28"/>
                <w:szCs w:val="28"/>
              </w:rPr>
            </w:pPr>
            <w:r>
              <w:rPr>
                <w:rFonts w:hint="eastAsia" w:ascii="仿宋" w:hAnsi="仿宋" w:eastAsia="仿宋" w:cs="仿宋"/>
                <w:sz w:val="28"/>
                <w:szCs w:val="28"/>
              </w:rPr>
              <w:t>保洁</w:t>
            </w:r>
          </w:p>
        </w:tc>
        <w:tc>
          <w:tcPr>
            <w:tcW w:w="1000" w:type="dxa"/>
            <w:tcBorders>
              <w:top w:val="single" w:color="auto" w:sz="4" w:space="0"/>
              <w:left w:val="single" w:color="auto" w:sz="4" w:space="0"/>
              <w:bottom w:val="single" w:color="auto" w:sz="4" w:space="0"/>
              <w:right w:val="single" w:color="auto" w:sz="4" w:space="0"/>
              <w:tl2br w:val="nil"/>
              <w:tr2bl w:val="nil"/>
            </w:tcBorders>
            <w:vAlign w:val="center"/>
          </w:tcPr>
          <w:p>
            <w:pPr>
              <w:pStyle w:val="24"/>
              <w:ind w:firstLine="0" w:firstLineChars="0"/>
              <w:jc w:val="center"/>
              <w:rPr>
                <w:rFonts w:ascii="仿宋" w:hAnsi="仿宋" w:eastAsia="仿宋" w:cs="仿宋"/>
                <w:sz w:val="28"/>
                <w:szCs w:val="28"/>
              </w:rPr>
            </w:pPr>
            <w:r>
              <w:rPr>
                <w:rFonts w:hint="eastAsia" w:ascii="仿宋" w:hAnsi="仿宋" w:eastAsia="仿宋" w:cs="仿宋"/>
                <w:sz w:val="28"/>
                <w:szCs w:val="28"/>
              </w:rPr>
              <w:t>6</w:t>
            </w:r>
          </w:p>
        </w:tc>
        <w:tc>
          <w:tcPr>
            <w:tcW w:w="6150" w:type="dxa"/>
            <w:tcBorders>
              <w:top w:val="single" w:color="auto" w:sz="4" w:space="0"/>
              <w:left w:val="single" w:color="auto" w:sz="4" w:space="0"/>
              <w:bottom w:val="single" w:color="auto" w:sz="4" w:space="0"/>
              <w:right w:val="single" w:color="auto" w:sz="4" w:space="0"/>
              <w:tl2br w:val="nil"/>
              <w:tr2bl w:val="nil"/>
            </w:tcBorders>
            <w:vAlign w:val="center"/>
          </w:tcPr>
          <w:p>
            <w:pPr>
              <w:pStyle w:val="24"/>
              <w:ind w:firstLine="0" w:firstLineChars="0"/>
              <w:rPr>
                <w:rFonts w:ascii="仿宋" w:hAnsi="仿宋" w:eastAsia="仿宋" w:cs="仿宋"/>
                <w:sz w:val="28"/>
                <w:szCs w:val="28"/>
              </w:rPr>
            </w:pPr>
            <w:r>
              <w:rPr>
                <w:rFonts w:hint="eastAsia" w:ascii="仿宋" w:hAnsi="仿宋" w:eastAsia="仿宋" w:cs="仿宋"/>
                <w:sz w:val="28"/>
                <w:szCs w:val="28"/>
              </w:rPr>
              <w:t>区域分配按甲方实际需求；清扫频次不低于甲方要求，为了达标可根据实际情况调整频次；</w:t>
            </w:r>
            <w:r>
              <w:rPr>
                <w:rFonts w:hint="eastAsia" w:ascii="仿宋" w:hAnsi="仿宋" w:eastAsia="仿宋" w:cs="仿宋"/>
                <w:kern w:val="0"/>
                <w:sz w:val="28"/>
                <w:szCs w:val="28"/>
              </w:rPr>
              <w:t>年龄50周岁以下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3" w:hRule="atLeast"/>
          <w:jc w:val="center"/>
        </w:trPr>
        <w:tc>
          <w:tcPr>
            <w:tcW w:w="912" w:type="dxa"/>
            <w:tcBorders>
              <w:top w:val="single" w:color="auto" w:sz="4" w:space="0"/>
              <w:left w:val="single" w:color="auto" w:sz="4" w:space="0"/>
              <w:bottom w:val="single" w:color="auto" w:sz="4" w:space="0"/>
              <w:right w:val="single" w:color="auto" w:sz="4" w:space="0"/>
              <w:tl2br w:val="nil"/>
              <w:tr2bl w:val="nil"/>
            </w:tcBorders>
            <w:vAlign w:val="center"/>
          </w:tcPr>
          <w:p>
            <w:pPr>
              <w:pStyle w:val="24"/>
              <w:ind w:firstLine="0" w:firstLineChars="0"/>
              <w:jc w:val="center"/>
              <w:rPr>
                <w:rFonts w:ascii="仿宋" w:hAnsi="仿宋" w:eastAsia="仿宋" w:cs="仿宋"/>
                <w:sz w:val="28"/>
                <w:szCs w:val="28"/>
              </w:rPr>
            </w:pPr>
            <w:r>
              <w:rPr>
                <w:rFonts w:hint="eastAsia" w:ascii="仿宋" w:hAnsi="仿宋" w:eastAsia="仿宋" w:cs="仿宋"/>
                <w:sz w:val="28"/>
                <w:szCs w:val="28"/>
              </w:rPr>
              <w:t>2</w:t>
            </w:r>
          </w:p>
        </w:tc>
        <w:tc>
          <w:tcPr>
            <w:tcW w:w="1233" w:type="dxa"/>
            <w:tcBorders>
              <w:top w:val="single" w:color="auto" w:sz="4" w:space="0"/>
              <w:left w:val="single" w:color="auto" w:sz="4" w:space="0"/>
              <w:bottom w:val="single" w:color="auto" w:sz="4" w:space="0"/>
              <w:right w:val="single" w:color="auto" w:sz="4" w:space="0"/>
              <w:tl2br w:val="nil"/>
              <w:tr2bl w:val="nil"/>
            </w:tcBorders>
            <w:vAlign w:val="center"/>
          </w:tcPr>
          <w:p>
            <w:pPr>
              <w:pStyle w:val="24"/>
              <w:ind w:left="0" w:leftChars="0" w:firstLine="0" w:firstLineChars="0"/>
              <w:jc w:val="center"/>
              <w:rPr>
                <w:rFonts w:ascii="仿宋" w:hAnsi="仿宋" w:eastAsia="仿宋" w:cs="仿宋"/>
                <w:sz w:val="28"/>
                <w:szCs w:val="28"/>
              </w:rPr>
            </w:pPr>
            <w:r>
              <w:rPr>
                <w:rFonts w:hint="eastAsia" w:ascii="仿宋" w:hAnsi="仿宋" w:eastAsia="仿宋" w:cs="仿宋"/>
                <w:sz w:val="28"/>
                <w:szCs w:val="28"/>
              </w:rPr>
              <w:t>保安</w:t>
            </w:r>
          </w:p>
        </w:tc>
        <w:tc>
          <w:tcPr>
            <w:tcW w:w="1000" w:type="dxa"/>
            <w:tcBorders>
              <w:top w:val="single" w:color="auto" w:sz="4" w:space="0"/>
              <w:left w:val="single" w:color="auto" w:sz="4" w:space="0"/>
              <w:bottom w:val="single" w:color="auto" w:sz="4" w:space="0"/>
              <w:right w:val="single" w:color="auto" w:sz="4" w:space="0"/>
              <w:tl2br w:val="nil"/>
              <w:tr2bl w:val="nil"/>
            </w:tcBorders>
            <w:vAlign w:val="center"/>
          </w:tcPr>
          <w:p>
            <w:pPr>
              <w:pStyle w:val="24"/>
              <w:ind w:firstLine="0" w:firstLineChars="0"/>
              <w:jc w:val="center"/>
              <w:rPr>
                <w:rFonts w:ascii="仿宋" w:hAnsi="仿宋" w:eastAsia="仿宋" w:cs="仿宋"/>
                <w:sz w:val="28"/>
                <w:szCs w:val="28"/>
              </w:rPr>
            </w:pPr>
            <w:r>
              <w:rPr>
                <w:rFonts w:hint="eastAsia" w:ascii="仿宋" w:hAnsi="仿宋" w:eastAsia="仿宋" w:cs="仿宋"/>
                <w:sz w:val="28"/>
                <w:szCs w:val="28"/>
              </w:rPr>
              <w:t>4</w:t>
            </w:r>
          </w:p>
        </w:tc>
        <w:tc>
          <w:tcPr>
            <w:tcW w:w="6150" w:type="dxa"/>
            <w:tcBorders>
              <w:top w:val="single" w:color="auto" w:sz="4" w:space="0"/>
              <w:left w:val="single" w:color="auto" w:sz="4" w:space="0"/>
              <w:bottom w:val="single" w:color="auto" w:sz="4" w:space="0"/>
              <w:right w:val="single" w:color="auto" w:sz="4" w:space="0"/>
              <w:tl2br w:val="nil"/>
              <w:tr2bl w:val="nil"/>
            </w:tcBorders>
            <w:vAlign w:val="center"/>
          </w:tcPr>
          <w:p>
            <w:pPr>
              <w:pStyle w:val="24"/>
              <w:ind w:firstLine="0" w:firstLineChars="0"/>
              <w:rPr>
                <w:rFonts w:ascii="仿宋" w:hAnsi="仿宋" w:eastAsia="仿宋" w:cs="仿宋"/>
                <w:sz w:val="28"/>
                <w:szCs w:val="28"/>
              </w:rPr>
            </w:pPr>
            <w:r>
              <w:rPr>
                <w:rFonts w:hint="eastAsia" w:ascii="仿宋" w:hAnsi="仿宋" w:eastAsia="仿宋" w:cs="仿宋"/>
                <w:sz w:val="28"/>
                <w:szCs w:val="28"/>
              </w:rPr>
              <w:t>年龄45周岁以下，持有保安证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3" w:hRule="atLeast"/>
          <w:jc w:val="center"/>
        </w:trPr>
        <w:tc>
          <w:tcPr>
            <w:tcW w:w="912" w:type="dxa"/>
            <w:tcBorders>
              <w:top w:val="single" w:color="auto" w:sz="4" w:space="0"/>
              <w:left w:val="single" w:color="auto" w:sz="4" w:space="0"/>
              <w:bottom w:val="single" w:color="auto" w:sz="4" w:space="0"/>
              <w:right w:val="single" w:color="auto" w:sz="4" w:space="0"/>
              <w:tl2br w:val="nil"/>
              <w:tr2bl w:val="nil"/>
            </w:tcBorders>
            <w:vAlign w:val="center"/>
          </w:tcPr>
          <w:p>
            <w:pPr>
              <w:pStyle w:val="24"/>
              <w:ind w:firstLine="0" w:firstLineChars="0"/>
              <w:jc w:val="center"/>
              <w:rPr>
                <w:rFonts w:hint="eastAsia" w:ascii="仿宋" w:hAnsi="仿宋" w:eastAsia="仿宋" w:cs="仿宋"/>
                <w:sz w:val="28"/>
                <w:szCs w:val="28"/>
              </w:rPr>
            </w:pPr>
            <w:r>
              <w:rPr>
                <w:rFonts w:hint="eastAsia" w:ascii="仿宋" w:hAnsi="仿宋" w:eastAsia="仿宋" w:cs="仿宋"/>
                <w:sz w:val="28"/>
                <w:szCs w:val="28"/>
              </w:rPr>
              <w:t>3</w:t>
            </w:r>
          </w:p>
        </w:tc>
        <w:tc>
          <w:tcPr>
            <w:tcW w:w="1233" w:type="dxa"/>
            <w:tcBorders>
              <w:top w:val="single" w:color="auto" w:sz="4" w:space="0"/>
              <w:left w:val="single" w:color="auto" w:sz="4" w:space="0"/>
              <w:bottom w:val="single" w:color="auto" w:sz="4" w:space="0"/>
              <w:right w:val="single" w:color="auto" w:sz="4" w:space="0"/>
              <w:tl2br w:val="nil"/>
              <w:tr2bl w:val="nil"/>
            </w:tcBorders>
            <w:vAlign w:val="center"/>
          </w:tcPr>
          <w:p>
            <w:pPr>
              <w:pStyle w:val="24"/>
              <w:ind w:left="0" w:leftChars="0" w:firstLine="0" w:firstLineChars="0"/>
              <w:jc w:val="center"/>
              <w:rPr>
                <w:rFonts w:hint="eastAsia" w:ascii="仿宋" w:hAnsi="仿宋" w:eastAsia="仿宋" w:cs="仿宋"/>
                <w:sz w:val="28"/>
                <w:szCs w:val="28"/>
              </w:rPr>
            </w:pPr>
            <w:r>
              <w:rPr>
                <w:rFonts w:hint="eastAsia" w:ascii="仿宋" w:hAnsi="仿宋" w:eastAsia="仿宋" w:cs="仿宋"/>
                <w:sz w:val="28"/>
                <w:szCs w:val="28"/>
              </w:rPr>
              <w:t>宿管</w:t>
            </w:r>
          </w:p>
        </w:tc>
        <w:tc>
          <w:tcPr>
            <w:tcW w:w="1000" w:type="dxa"/>
            <w:tcBorders>
              <w:top w:val="single" w:color="auto" w:sz="4" w:space="0"/>
              <w:left w:val="single" w:color="auto" w:sz="4" w:space="0"/>
              <w:bottom w:val="single" w:color="auto" w:sz="4" w:space="0"/>
              <w:right w:val="single" w:color="auto" w:sz="4" w:space="0"/>
              <w:tl2br w:val="nil"/>
              <w:tr2bl w:val="nil"/>
            </w:tcBorders>
            <w:vAlign w:val="center"/>
          </w:tcPr>
          <w:p>
            <w:pPr>
              <w:pStyle w:val="24"/>
              <w:ind w:firstLine="0" w:firstLineChars="0"/>
              <w:jc w:val="center"/>
              <w:rPr>
                <w:rFonts w:hint="eastAsia" w:ascii="仿宋" w:hAnsi="仿宋" w:eastAsia="仿宋" w:cs="仿宋"/>
                <w:sz w:val="28"/>
                <w:szCs w:val="28"/>
              </w:rPr>
            </w:pPr>
            <w:r>
              <w:rPr>
                <w:rFonts w:hint="eastAsia" w:ascii="仿宋" w:hAnsi="仿宋" w:eastAsia="仿宋" w:cs="仿宋"/>
                <w:sz w:val="28"/>
                <w:szCs w:val="28"/>
              </w:rPr>
              <w:t>4</w:t>
            </w:r>
          </w:p>
        </w:tc>
        <w:tc>
          <w:tcPr>
            <w:tcW w:w="6150" w:type="dxa"/>
            <w:tcBorders>
              <w:top w:val="single" w:color="auto" w:sz="4" w:space="0"/>
              <w:left w:val="single" w:color="auto" w:sz="4" w:space="0"/>
              <w:bottom w:val="single" w:color="auto" w:sz="4" w:space="0"/>
              <w:right w:val="single" w:color="auto" w:sz="4" w:space="0"/>
              <w:tl2br w:val="nil"/>
              <w:tr2bl w:val="nil"/>
            </w:tcBorders>
            <w:vAlign w:val="center"/>
          </w:tcPr>
          <w:p>
            <w:pPr>
              <w:pStyle w:val="24"/>
              <w:ind w:firstLine="0" w:firstLineChars="0"/>
              <w:rPr>
                <w:rFonts w:hint="eastAsia" w:ascii="仿宋" w:hAnsi="仿宋" w:eastAsia="仿宋" w:cs="仿宋"/>
                <w:sz w:val="28"/>
                <w:szCs w:val="28"/>
              </w:rPr>
            </w:pPr>
            <w:r>
              <w:rPr>
                <w:rFonts w:hint="eastAsia" w:ascii="仿宋" w:hAnsi="仿宋" w:eastAsia="仿宋" w:cs="仿宋"/>
                <w:kern w:val="0"/>
                <w:sz w:val="28"/>
                <w:szCs w:val="28"/>
              </w:rPr>
              <w:t>年龄50周岁以下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3" w:hRule="atLeast"/>
          <w:jc w:val="center"/>
        </w:trPr>
        <w:tc>
          <w:tcPr>
            <w:tcW w:w="2145" w:type="dxa"/>
            <w:gridSpan w:val="2"/>
            <w:tcBorders>
              <w:top w:val="single" w:color="auto" w:sz="4" w:space="0"/>
              <w:left w:val="single" w:color="auto" w:sz="4" w:space="0"/>
              <w:bottom w:val="single" w:color="auto" w:sz="4" w:space="0"/>
              <w:right w:val="single" w:color="auto" w:sz="4" w:space="0"/>
              <w:tl2br w:val="nil"/>
              <w:tr2bl w:val="nil"/>
            </w:tcBorders>
            <w:vAlign w:val="center"/>
          </w:tcPr>
          <w:p>
            <w:pPr>
              <w:pStyle w:val="24"/>
              <w:ind w:left="0" w:leftChars="0" w:firstLine="0" w:firstLineChars="0"/>
              <w:jc w:val="center"/>
              <w:rPr>
                <w:rFonts w:hint="eastAsia" w:ascii="仿宋" w:hAnsi="仿宋" w:eastAsia="仿宋" w:cs="仿宋"/>
                <w:sz w:val="28"/>
                <w:szCs w:val="28"/>
              </w:rPr>
            </w:pPr>
            <w:r>
              <w:rPr>
                <w:rFonts w:hint="eastAsia" w:ascii="仿宋" w:hAnsi="仿宋" w:eastAsia="仿宋" w:cs="仿宋"/>
                <w:sz w:val="28"/>
                <w:szCs w:val="28"/>
              </w:rPr>
              <w:t>合计</w:t>
            </w:r>
          </w:p>
        </w:tc>
        <w:tc>
          <w:tcPr>
            <w:tcW w:w="7150" w:type="dxa"/>
            <w:gridSpan w:val="2"/>
            <w:tcBorders>
              <w:top w:val="single" w:color="auto" w:sz="4" w:space="0"/>
              <w:left w:val="single" w:color="auto" w:sz="4" w:space="0"/>
              <w:bottom w:val="single" w:color="auto" w:sz="4" w:space="0"/>
              <w:right w:val="single" w:color="auto" w:sz="4" w:space="0"/>
              <w:tl2br w:val="nil"/>
              <w:tr2bl w:val="nil"/>
            </w:tcBorders>
            <w:vAlign w:val="center"/>
          </w:tcPr>
          <w:p>
            <w:pPr>
              <w:pStyle w:val="24"/>
              <w:ind w:firstLine="0" w:firstLineChars="0"/>
              <w:jc w:val="center"/>
              <w:rPr>
                <w:rFonts w:hint="eastAsia" w:ascii="仿宋" w:hAnsi="仿宋" w:eastAsia="仿宋" w:cs="仿宋"/>
                <w:kern w:val="0"/>
                <w:sz w:val="28"/>
                <w:szCs w:val="28"/>
              </w:rPr>
            </w:pPr>
            <w:r>
              <w:rPr>
                <w:rFonts w:hint="eastAsia" w:ascii="仿宋" w:hAnsi="仿宋" w:eastAsia="仿宋" w:cs="仿宋"/>
                <w:sz w:val="28"/>
                <w:szCs w:val="28"/>
              </w:rPr>
              <w:t>14</w:t>
            </w:r>
          </w:p>
        </w:tc>
      </w:tr>
    </w:tbl>
    <w:p>
      <w:pPr>
        <w:numPr>
          <w:ilvl w:val="0"/>
          <w:numId w:val="1"/>
        </w:numPr>
        <w:spacing w:beforeLines="50" w:line="360" w:lineRule="auto"/>
        <w:ind w:firstLine="560" w:firstLineChars="200"/>
        <w:rPr>
          <w:rFonts w:ascii="仿宋" w:hAnsi="仿宋" w:eastAsia="仿宋" w:cs="仿宋"/>
          <w:sz w:val="28"/>
          <w:szCs w:val="28"/>
        </w:rPr>
      </w:pPr>
      <w:r>
        <w:rPr>
          <w:rFonts w:hint="eastAsia" w:ascii="仿宋" w:hAnsi="仿宋" w:eastAsia="仿宋" w:cs="仿宋"/>
          <w:kern w:val="0"/>
          <w:sz w:val="28"/>
          <w:szCs w:val="28"/>
          <w:lang w:eastAsia="zh-CN"/>
        </w:rPr>
        <w:t>以上人员</w:t>
      </w:r>
      <w:r>
        <w:rPr>
          <w:rFonts w:hint="eastAsia" w:ascii="仿宋" w:hAnsi="仿宋" w:eastAsia="仿宋" w:cs="仿宋"/>
          <w:kern w:val="0"/>
          <w:sz w:val="28"/>
          <w:szCs w:val="28"/>
        </w:rPr>
        <w:t>费用包含但不限于人员薪酬（含服装费）保险、福利费、节假日加班费等费用</w:t>
      </w:r>
      <w:r>
        <w:rPr>
          <w:rFonts w:hint="eastAsia" w:ascii="仿宋" w:hAnsi="仿宋" w:eastAsia="仿宋" w:cs="仿宋"/>
          <w:kern w:val="0"/>
          <w:sz w:val="28"/>
          <w:szCs w:val="28"/>
          <w:lang w:eastAsia="zh-CN"/>
        </w:rPr>
        <w:t>。</w:t>
      </w:r>
    </w:p>
    <w:p>
      <w:pPr>
        <w:spacing w:beforeLines="50" w:line="360" w:lineRule="auto"/>
        <w:ind w:firstLine="602" w:firstLineChars="200"/>
        <w:rPr>
          <w:rFonts w:ascii="仿宋" w:hAnsi="仿宋" w:eastAsia="仿宋" w:cs="仿宋"/>
          <w:sz w:val="28"/>
          <w:szCs w:val="28"/>
        </w:rPr>
      </w:pPr>
      <w:r>
        <w:rPr>
          <w:rFonts w:hint="eastAsia" w:ascii="仿宋_GB2312" w:eastAsia="仿宋_GB2312"/>
          <w:b/>
          <w:bCs/>
          <w:color w:val="000000"/>
          <w:sz w:val="30"/>
          <w:szCs w:val="30"/>
          <w:lang w:eastAsia="zh-CN"/>
        </w:rPr>
        <w:t>（二）付款方式：</w:t>
      </w:r>
      <w:r>
        <w:rPr>
          <w:rFonts w:hint="eastAsia" w:ascii="仿宋" w:hAnsi="仿宋" w:eastAsia="仿宋" w:cs="仿宋"/>
          <w:sz w:val="28"/>
          <w:szCs w:val="28"/>
        </w:rPr>
        <w:t>投标方与招标方签订合同后，须向招标方提供营业执照、开户许可证等</w:t>
      </w:r>
      <w:r>
        <w:rPr>
          <w:rFonts w:hint="eastAsia" w:ascii="仿宋_GB2312" w:hAnsi="宋体" w:eastAsia="仿宋_GB2312" w:cs="Calibri"/>
          <w:kern w:val="2"/>
          <w:sz w:val="28"/>
          <w:szCs w:val="28"/>
        </w:rPr>
        <w:t>相关复印</w:t>
      </w:r>
      <w:r>
        <w:rPr>
          <w:rFonts w:hint="eastAsia" w:ascii="仿宋" w:hAnsi="仿宋" w:eastAsia="仿宋" w:cs="仿宋"/>
          <w:sz w:val="28"/>
          <w:szCs w:val="28"/>
        </w:rPr>
        <w:t>证件及增值税专用发票，招标方</w:t>
      </w:r>
      <w:r>
        <w:rPr>
          <w:rFonts w:hint="eastAsia" w:ascii="仿宋" w:hAnsi="仿宋" w:eastAsia="仿宋" w:cs="仿宋"/>
          <w:sz w:val="28"/>
          <w:szCs w:val="28"/>
          <w:lang w:eastAsia="zh-CN"/>
        </w:rPr>
        <w:t>每月</w:t>
      </w:r>
      <w:r>
        <w:rPr>
          <w:rFonts w:hint="eastAsia" w:ascii="仿宋" w:hAnsi="仿宋" w:eastAsia="仿宋" w:cs="仿宋"/>
          <w:sz w:val="28"/>
          <w:szCs w:val="28"/>
        </w:rPr>
        <w:t>支付</w:t>
      </w:r>
      <w:r>
        <w:rPr>
          <w:rFonts w:hint="eastAsia" w:ascii="仿宋" w:hAnsi="仿宋" w:eastAsia="仿宋" w:cs="仿宋"/>
          <w:sz w:val="28"/>
          <w:szCs w:val="28"/>
          <w:lang w:eastAsia="zh-CN"/>
        </w:rPr>
        <w:t>物业服务</w:t>
      </w:r>
      <w:r>
        <w:rPr>
          <w:rFonts w:hint="eastAsia" w:ascii="仿宋" w:hAnsi="仿宋" w:eastAsia="仿宋" w:cs="仿宋"/>
          <w:sz w:val="28"/>
          <w:szCs w:val="28"/>
        </w:rPr>
        <w:t>费（含税费）。</w:t>
      </w:r>
    </w:p>
    <w:p>
      <w:pPr>
        <w:pStyle w:val="12"/>
        <w:widowControl/>
        <w:shd w:val="clear" w:color="auto" w:fill="FFFFFF"/>
        <w:spacing w:beforeAutospacing="0" w:afterAutospacing="0" w:line="420" w:lineRule="atLeast"/>
        <w:ind w:firstLine="602" w:firstLineChars="200"/>
        <w:rPr>
          <w:rFonts w:hint="eastAsia" w:ascii="仿宋_GB2312" w:hAnsi="Calibri" w:eastAsia="仿宋_GB2312" w:cs="Calibri"/>
          <w:b/>
          <w:bCs/>
          <w:color w:val="000000"/>
          <w:kern w:val="2"/>
          <w:sz w:val="30"/>
          <w:szCs w:val="30"/>
          <w:lang w:val="en-US" w:eastAsia="zh-CN" w:bidi="ar-SA"/>
        </w:rPr>
      </w:pPr>
      <w:r>
        <w:rPr>
          <w:rFonts w:hint="eastAsia" w:ascii="仿宋_GB2312" w:hAnsi="Calibri" w:eastAsia="仿宋_GB2312" w:cs="Calibri"/>
          <w:b/>
          <w:bCs/>
          <w:color w:val="000000"/>
          <w:kern w:val="2"/>
          <w:sz w:val="30"/>
          <w:szCs w:val="30"/>
          <w:lang w:val="en-US" w:eastAsia="zh-CN" w:bidi="ar-SA"/>
        </w:rPr>
        <w:t>（三）服务要求：</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1.服务区域内的公共区域、卫生间、房门、大厅玻璃门、窗台、窗槽、地角线、垃圾桶、标识牌等的清洁，其他例如办公室等根据招标方要求提供清洁；</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2.服务区域垃圾的收集，垃圾由招标方集中清运。</w:t>
      </w:r>
    </w:p>
    <w:p>
      <w:pPr>
        <w:spacing w:line="56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3.服务地点:康巴什第一小学（东校区）</w:t>
      </w:r>
    </w:p>
    <w:p>
      <w:pPr>
        <w:pStyle w:val="12"/>
        <w:widowControl/>
        <w:shd w:val="clear" w:color="auto" w:fill="FFFFFF"/>
        <w:spacing w:beforeAutospacing="0" w:afterAutospacing="0" w:line="420" w:lineRule="atLeast"/>
        <w:ind w:firstLine="602" w:firstLineChars="200"/>
        <w:rPr>
          <w:rFonts w:hint="eastAsia" w:ascii="仿宋_GB2312" w:hAnsi="Calibri" w:eastAsia="仿宋_GB2312" w:cs="Calibri"/>
          <w:b/>
          <w:bCs/>
          <w:color w:val="000000"/>
          <w:kern w:val="2"/>
          <w:sz w:val="30"/>
          <w:szCs w:val="30"/>
          <w:lang w:val="en-US" w:eastAsia="zh-CN" w:bidi="ar-SA"/>
        </w:rPr>
      </w:pPr>
      <w:r>
        <w:rPr>
          <w:rFonts w:hint="eastAsia" w:ascii="仿宋_GB2312" w:hAnsi="Calibri" w:eastAsia="仿宋_GB2312" w:cs="Calibri"/>
          <w:b/>
          <w:bCs/>
          <w:color w:val="000000"/>
          <w:kern w:val="2"/>
          <w:sz w:val="30"/>
          <w:szCs w:val="30"/>
          <w:lang w:val="en-US" w:eastAsia="zh-CN" w:bidi="ar-SA"/>
        </w:rPr>
        <w:t>（四）服务标准</w:t>
      </w:r>
    </w:p>
    <w:tbl>
      <w:tblPr>
        <w:tblStyle w:val="13"/>
        <w:tblW w:w="9783" w:type="dxa"/>
        <w:jc w:val="center"/>
        <w:tblInd w:w="0" w:type="dxa"/>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
      <w:tblGrid>
        <w:gridCol w:w="1333"/>
        <w:gridCol w:w="8450"/>
      </w:tblGrid>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tcBorders>
              <w:bottom w:val="single" w:color="836967" w:sz="4" w:space="0"/>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项目分类</w:t>
            </w:r>
          </w:p>
        </w:tc>
        <w:tc>
          <w:tcPr>
            <w:tcW w:w="8450" w:type="dxa"/>
            <w:tcBorders>
              <w:left w:val="single" w:color="836967" w:sz="4" w:space="0"/>
              <w:bottom w:val="single" w:color="836967" w:sz="4" w:space="0"/>
            </w:tcBorders>
            <w:tcMar>
              <w:left w:w="10" w:type="dxa"/>
              <w:right w:w="10" w:type="dxa"/>
            </w:tcMar>
            <w:vAlign w:val="cente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 xml:space="preserve">                   服务标准</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restart"/>
            <w:tcBorders>
              <w:top w:val="single" w:color="836967" w:sz="4" w:space="0"/>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楼宇内公共区域、卫生间、房门、大厅玻璃门、窗台、窗槽、地角线、楼梯道、楼梯扶手、垃圾桶、标识牌等</w:t>
            </w:r>
          </w:p>
        </w:tc>
        <w:tc>
          <w:tcPr>
            <w:tcW w:w="8450"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公共区域地面无垃圾、尘土、口香糖等污渍，地面干燥无水渍</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8"/>
                <w:szCs w:val="28"/>
              </w:rPr>
            </w:pPr>
          </w:p>
        </w:tc>
        <w:tc>
          <w:tcPr>
            <w:tcW w:w="8450"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楼梯及扶手无尘土</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8"/>
                <w:szCs w:val="28"/>
              </w:rPr>
            </w:pPr>
          </w:p>
        </w:tc>
        <w:tc>
          <w:tcPr>
            <w:tcW w:w="8450"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办公楼公共区域墙壁无污物，尘土和涂鸦（可去除的）</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8"/>
                <w:szCs w:val="28"/>
              </w:rPr>
            </w:pPr>
          </w:p>
        </w:tc>
        <w:tc>
          <w:tcPr>
            <w:tcW w:w="8450"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垃圾桶摆放位置正确， 筒外无垃圾，筒内均有垃圾袋</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8"/>
                <w:szCs w:val="28"/>
              </w:rPr>
            </w:pPr>
          </w:p>
        </w:tc>
        <w:tc>
          <w:tcPr>
            <w:tcW w:w="8450"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办公楼卫生间金属设施无水痕、手印及粘贴的口香糖、标签等</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8"/>
                <w:szCs w:val="28"/>
              </w:rPr>
            </w:pPr>
          </w:p>
        </w:tc>
        <w:tc>
          <w:tcPr>
            <w:tcW w:w="8450"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办公楼卫生间地面杜绝湿滑现象，马桶/小便池附近地面杜绝尿痕残留、粘脚的现象</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8"/>
                <w:szCs w:val="28"/>
              </w:rPr>
            </w:pPr>
          </w:p>
        </w:tc>
        <w:tc>
          <w:tcPr>
            <w:tcW w:w="8450"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办公楼卫生间大小便池和洗手池应无浮垢、污垢、水垢和清洁剂残留物。溢留口和存水弯应无污物和尿酸结垢；水龙头把手干净、无污物；衣镜光洁无污痕。墙壁、天花板及通风口无污痕。卫生间始终保持空气清新</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8"/>
                <w:szCs w:val="28"/>
              </w:rPr>
            </w:pPr>
          </w:p>
        </w:tc>
        <w:tc>
          <w:tcPr>
            <w:tcW w:w="8450"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公共区域清扫保洁时设置提示标识，地面保洁时设置防滑标识</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8"/>
                <w:szCs w:val="28"/>
              </w:rPr>
            </w:pPr>
          </w:p>
        </w:tc>
        <w:tc>
          <w:tcPr>
            <w:tcW w:w="8450"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卫生间内应无蚊蝇、无乱堆物品、无暴露的保洁工具和废纸</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8"/>
                <w:szCs w:val="28"/>
              </w:rPr>
            </w:pPr>
          </w:p>
        </w:tc>
        <w:tc>
          <w:tcPr>
            <w:tcW w:w="8450"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在每个厕间放置垃圾筐，筐内放置垃圾袋，垃圾不能超过2/3；定期清倒垃圾筐并消毒，保持卫生干净</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8"/>
                <w:szCs w:val="28"/>
              </w:rPr>
            </w:pPr>
          </w:p>
        </w:tc>
        <w:tc>
          <w:tcPr>
            <w:tcW w:w="8450"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卫生纸架无污迹、尘土</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8"/>
                <w:szCs w:val="28"/>
              </w:rPr>
            </w:pPr>
          </w:p>
        </w:tc>
        <w:tc>
          <w:tcPr>
            <w:tcW w:w="8450"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公共区域涂料墙无浮尘</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8"/>
                <w:szCs w:val="28"/>
              </w:rPr>
            </w:pPr>
          </w:p>
        </w:tc>
        <w:tc>
          <w:tcPr>
            <w:tcW w:w="8450"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窗户玻璃及玻璃门无泥点，无鸟粪，无清洗遗留水痕，无雨雪遗留痕迹，明亮，无污痕，无污点，无手印。定期清洗，保证玻璃明亮</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8"/>
                <w:szCs w:val="28"/>
              </w:rPr>
            </w:pPr>
          </w:p>
        </w:tc>
        <w:tc>
          <w:tcPr>
            <w:tcW w:w="8450"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天花板、灯罩及通风口清洁、无可视污垢和蜘蛛网等</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8"/>
                <w:szCs w:val="28"/>
              </w:rPr>
            </w:pPr>
          </w:p>
        </w:tc>
        <w:tc>
          <w:tcPr>
            <w:tcW w:w="8450"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陶瓷地砖和墙围无垃圾、尘土及污物</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8"/>
                <w:szCs w:val="28"/>
              </w:rPr>
            </w:pPr>
          </w:p>
        </w:tc>
        <w:tc>
          <w:tcPr>
            <w:tcW w:w="8450"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水泥天花板无可视污垢和蜘蛛网等</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8"/>
                <w:szCs w:val="28"/>
              </w:rPr>
            </w:pPr>
          </w:p>
        </w:tc>
        <w:tc>
          <w:tcPr>
            <w:tcW w:w="8450"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保证灭火瓶，烟感器及消防报警器等设施干净、整洁，无尘土，无污垢</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8"/>
                <w:szCs w:val="28"/>
              </w:rPr>
            </w:pPr>
          </w:p>
        </w:tc>
        <w:tc>
          <w:tcPr>
            <w:tcW w:w="8450"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下水道、雨水篦子雨季之前，及时疏通下水、清理雨水篦子，保证下水道畅通</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8"/>
                <w:szCs w:val="28"/>
              </w:rPr>
            </w:pPr>
          </w:p>
        </w:tc>
        <w:tc>
          <w:tcPr>
            <w:tcW w:w="8450"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地毯、地垫清洗后无污迹、水印、杂物</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8"/>
                <w:szCs w:val="28"/>
              </w:rPr>
            </w:pPr>
          </w:p>
        </w:tc>
        <w:tc>
          <w:tcPr>
            <w:tcW w:w="8450"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院内垃圾桶摆放位置正确， 筒外无垃圾、异物，随时查看随时处理</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bottom w:val="single" w:color="836967" w:sz="4" w:space="0"/>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8"/>
                <w:szCs w:val="28"/>
              </w:rPr>
            </w:pPr>
          </w:p>
        </w:tc>
        <w:tc>
          <w:tcPr>
            <w:tcW w:w="8450"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楼梯无垃圾、口香糖、地面干燥无水渍；扶手及安全出口标示牌确保无灰尘，蜘蛛网，且保洁员有义务在发现安全标示牌或者扶手损坏及时上报</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restart"/>
            <w:tcBorders>
              <w:top w:val="single" w:color="auto" w:sz="4" w:space="0"/>
              <w:bottom w:val="single" w:color="auto" w:sz="4" w:space="0"/>
              <w:right w:val="single" w:color="auto" w:sz="4" w:space="0"/>
            </w:tcBorders>
            <w:tcMar>
              <w:left w:w="10" w:type="dxa"/>
              <w:right w:w="10" w:type="dxa"/>
            </w:tcMar>
            <w:vAlign w:val="cente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活动室、图书馆、会议室等（除餐厅外的大型教室）</w:t>
            </w:r>
          </w:p>
        </w:tc>
        <w:tc>
          <w:tcPr>
            <w:tcW w:w="8450" w:type="dxa"/>
            <w:tcBorders>
              <w:top w:val="single" w:color="836967" w:sz="4" w:space="0"/>
              <w:left w:val="single" w:color="auto" w:sz="4" w:space="0"/>
              <w:bottom w:val="single" w:color="836967" w:sz="4" w:space="0"/>
            </w:tcBorders>
            <w:tcMar>
              <w:left w:w="10" w:type="dxa"/>
              <w:right w:w="10" w:type="dxa"/>
            </w:tcMar>
            <w:vAlign w:val="cente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地面、窗台、消防设备设施无灰尘</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top w:val="single" w:color="auto" w:sz="4" w:space="0"/>
              <w:bottom w:val="single" w:color="auto" w:sz="4" w:space="0"/>
              <w:right w:val="single" w:color="auto" w:sz="4" w:space="0"/>
            </w:tcBorders>
            <w:tcMar>
              <w:left w:w="10" w:type="dxa"/>
              <w:right w:w="10" w:type="dxa"/>
            </w:tcMar>
            <w:vAlign w:val="center"/>
          </w:tcPr>
          <w:p>
            <w:pPr>
              <w:tabs>
                <w:tab w:val="left" w:pos="425"/>
              </w:tabs>
              <w:spacing w:line="360" w:lineRule="auto"/>
              <w:rPr>
                <w:rFonts w:ascii="仿宋" w:hAnsi="仿宋" w:eastAsia="仿宋" w:cs="仿宋"/>
                <w:sz w:val="28"/>
                <w:szCs w:val="28"/>
              </w:rPr>
            </w:pPr>
          </w:p>
        </w:tc>
        <w:tc>
          <w:tcPr>
            <w:tcW w:w="8450" w:type="dxa"/>
            <w:tcBorders>
              <w:top w:val="single" w:color="836967" w:sz="4" w:space="0"/>
              <w:left w:val="single" w:color="auto" w:sz="4" w:space="0"/>
              <w:bottom w:val="single" w:color="836967" w:sz="4" w:space="0"/>
            </w:tcBorders>
            <w:tcMar>
              <w:left w:w="10" w:type="dxa"/>
              <w:right w:w="10" w:type="dxa"/>
            </w:tcMar>
            <w:vAlign w:val="cente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活动器材无赃物、污渍，定期维护</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top w:val="single" w:color="auto" w:sz="4" w:space="0"/>
              <w:bottom w:val="single" w:color="auto" w:sz="4" w:space="0"/>
              <w:right w:val="single" w:color="auto" w:sz="4" w:space="0"/>
            </w:tcBorders>
            <w:tcMar>
              <w:left w:w="10" w:type="dxa"/>
              <w:right w:w="10" w:type="dxa"/>
            </w:tcMar>
            <w:vAlign w:val="center"/>
          </w:tcPr>
          <w:p>
            <w:pPr>
              <w:tabs>
                <w:tab w:val="left" w:pos="425"/>
              </w:tabs>
              <w:spacing w:line="360" w:lineRule="auto"/>
              <w:rPr>
                <w:rFonts w:ascii="仿宋" w:hAnsi="仿宋" w:eastAsia="仿宋" w:cs="仿宋"/>
                <w:sz w:val="28"/>
                <w:szCs w:val="28"/>
              </w:rPr>
            </w:pPr>
          </w:p>
        </w:tc>
        <w:tc>
          <w:tcPr>
            <w:tcW w:w="8450" w:type="dxa"/>
            <w:tcBorders>
              <w:top w:val="single" w:color="836967" w:sz="4" w:space="0"/>
              <w:left w:val="single" w:color="auto" w:sz="4" w:space="0"/>
              <w:bottom w:val="single" w:color="836967" w:sz="4" w:space="0"/>
            </w:tcBorders>
            <w:tcMar>
              <w:left w:w="10" w:type="dxa"/>
              <w:right w:w="10" w:type="dxa"/>
            </w:tcMa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定期清倒垃圾筐并每周消毒，保持卫生干净</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top w:val="single" w:color="auto" w:sz="4" w:space="0"/>
              <w:bottom w:val="single" w:color="auto" w:sz="4" w:space="0"/>
              <w:right w:val="single" w:color="auto" w:sz="4" w:space="0"/>
            </w:tcBorders>
            <w:tcMar>
              <w:left w:w="10" w:type="dxa"/>
              <w:right w:w="10" w:type="dxa"/>
            </w:tcMar>
            <w:vAlign w:val="center"/>
          </w:tcPr>
          <w:p>
            <w:pPr>
              <w:tabs>
                <w:tab w:val="left" w:pos="425"/>
              </w:tabs>
              <w:spacing w:line="360" w:lineRule="auto"/>
              <w:rPr>
                <w:rFonts w:ascii="仿宋" w:hAnsi="仿宋" w:eastAsia="仿宋" w:cs="仿宋"/>
                <w:sz w:val="28"/>
                <w:szCs w:val="28"/>
              </w:rPr>
            </w:pPr>
          </w:p>
        </w:tc>
        <w:tc>
          <w:tcPr>
            <w:tcW w:w="8450" w:type="dxa"/>
            <w:tcBorders>
              <w:top w:val="single" w:color="836967" w:sz="4" w:space="0"/>
              <w:left w:val="single" w:color="auto" w:sz="4" w:space="0"/>
              <w:bottom w:val="single" w:color="836967" w:sz="4" w:space="0"/>
            </w:tcBorders>
            <w:tcMar>
              <w:left w:w="10" w:type="dxa"/>
              <w:right w:w="10" w:type="dxa"/>
            </w:tcMa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涂料墙确保无浮尘</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top w:val="single" w:color="auto" w:sz="4" w:space="0"/>
              <w:bottom w:val="single" w:color="auto" w:sz="4" w:space="0"/>
              <w:right w:val="single" w:color="auto" w:sz="4" w:space="0"/>
            </w:tcBorders>
            <w:tcMar>
              <w:left w:w="10" w:type="dxa"/>
              <w:right w:w="10" w:type="dxa"/>
            </w:tcMar>
            <w:vAlign w:val="center"/>
          </w:tcPr>
          <w:p>
            <w:pPr>
              <w:tabs>
                <w:tab w:val="left" w:pos="425"/>
              </w:tabs>
              <w:spacing w:line="360" w:lineRule="auto"/>
              <w:rPr>
                <w:rFonts w:ascii="仿宋" w:hAnsi="仿宋" w:eastAsia="仿宋" w:cs="仿宋"/>
                <w:sz w:val="28"/>
                <w:szCs w:val="28"/>
              </w:rPr>
            </w:pPr>
          </w:p>
        </w:tc>
        <w:tc>
          <w:tcPr>
            <w:tcW w:w="8450" w:type="dxa"/>
            <w:tcBorders>
              <w:top w:val="single" w:color="836967" w:sz="4" w:space="0"/>
              <w:left w:val="single" w:color="auto" w:sz="4" w:space="0"/>
              <w:bottom w:val="single" w:color="836967" w:sz="4" w:space="0"/>
            </w:tcBorders>
            <w:tcMar>
              <w:left w:w="10" w:type="dxa"/>
              <w:right w:w="10" w:type="dxa"/>
            </w:tcMa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大理石、水磨石地面、墙面确保干净、无污渍</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top w:val="single" w:color="auto" w:sz="4" w:space="0"/>
              <w:bottom w:val="single" w:color="auto" w:sz="4" w:space="0"/>
              <w:right w:val="single" w:color="auto" w:sz="4" w:space="0"/>
            </w:tcBorders>
            <w:tcMar>
              <w:left w:w="10" w:type="dxa"/>
              <w:right w:w="10" w:type="dxa"/>
            </w:tcMar>
            <w:vAlign w:val="center"/>
          </w:tcPr>
          <w:p>
            <w:pPr>
              <w:tabs>
                <w:tab w:val="left" w:pos="425"/>
              </w:tabs>
              <w:spacing w:line="360" w:lineRule="auto"/>
              <w:rPr>
                <w:rFonts w:ascii="仿宋" w:hAnsi="仿宋" w:eastAsia="仿宋" w:cs="仿宋"/>
                <w:sz w:val="28"/>
                <w:szCs w:val="28"/>
              </w:rPr>
            </w:pPr>
          </w:p>
        </w:tc>
        <w:tc>
          <w:tcPr>
            <w:tcW w:w="8450" w:type="dxa"/>
            <w:tcBorders>
              <w:top w:val="single" w:color="836967" w:sz="4" w:space="0"/>
              <w:left w:val="single" w:color="auto" w:sz="4" w:space="0"/>
              <w:bottom w:val="single" w:color="836967" w:sz="4" w:space="0"/>
            </w:tcBorders>
            <w:tcMar>
              <w:left w:w="10" w:type="dxa"/>
              <w:right w:w="10" w:type="dxa"/>
            </w:tcMa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天花板、灯罩及通风口确保清洁、无明显污垢、蜘蛛网等</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top w:val="single" w:color="auto" w:sz="4" w:space="0"/>
              <w:bottom w:val="single" w:color="auto" w:sz="4" w:space="0"/>
              <w:right w:val="single" w:color="auto" w:sz="4" w:space="0"/>
            </w:tcBorders>
            <w:tcMar>
              <w:left w:w="10" w:type="dxa"/>
              <w:right w:w="10" w:type="dxa"/>
            </w:tcMar>
            <w:vAlign w:val="center"/>
          </w:tcPr>
          <w:p>
            <w:pPr>
              <w:tabs>
                <w:tab w:val="left" w:pos="425"/>
              </w:tabs>
              <w:spacing w:line="360" w:lineRule="auto"/>
              <w:rPr>
                <w:rFonts w:ascii="仿宋" w:hAnsi="仿宋" w:eastAsia="仿宋" w:cs="仿宋"/>
                <w:sz w:val="28"/>
                <w:szCs w:val="28"/>
              </w:rPr>
            </w:pPr>
          </w:p>
        </w:tc>
        <w:tc>
          <w:tcPr>
            <w:tcW w:w="8450" w:type="dxa"/>
            <w:tcBorders>
              <w:top w:val="single" w:color="836967" w:sz="4" w:space="0"/>
              <w:left w:val="single" w:color="auto" w:sz="4" w:space="0"/>
              <w:bottom w:val="single" w:color="836967" w:sz="4" w:space="0"/>
            </w:tcBorders>
            <w:tcMar>
              <w:left w:w="10" w:type="dxa"/>
              <w:right w:w="10" w:type="dxa"/>
            </w:tcMa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准备进行清洁作业时应在门口放置工作提示牌</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763" w:hRule="atLeast"/>
          <w:jc w:val="center"/>
        </w:trPr>
        <w:tc>
          <w:tcPr>
            <w:tcW w:w="1333" w:type="dxa"/>
            <w:vMerge w:val="continue"/>
            <w:tcBorders>
              <w:top w:val="single" w:color="auto" w:sz="4" w:space="0"/>
              <w:bottom w:val="single" w:color="auto" w:sz="4" w:space="0"/>
              <w:right w:val="single" w:color="auto" w:sz="4" w:space="0"/>
            </w:tcBorders>
            <w:tcMar>
              <w:left w:w="10" w:type="dxa"/>
              <w:right w:w="10" w:type="dxa"/>
            </w:tcMar>
            <w:vAlign w:val="center"/>
          </w:tcPr>
          <w:p>
            <w:pPr>
              <w:tabs>
                <w:tab w:val="left" w:pos="425"/>
              </w:tabs>
              <w:spacing w:line="360" w:lineRule="auto"/>
              <w:rPr>
                <w:rFonts w:ascii="仿宋" w:hAnsi="仿宋" w:eastAsia="仿宋" w:cs="仿宋"/>
                <w:sz w:val="28"/>
                <w:szCs w:val="28"/>
              </w:rPr>
            </w:pPr>
          </w:p>
        </w:tc>
        <w:tc>
          <w:tcPr>
            <w:tcW w:w="8450" w:type="dxa"/>
            <w:tcBorders>
              <w:top w:val="single" w:color="836967" w:sz="4" w:space="0"/>
              <w:left w:val="single" w:color="auto" w:sz="4" w:space="0"/>
              <w:bottom w:val="single" w:color="836967" w:sz="4" w:space="0"/>
            </w:tcBorders>
            <w:tcMar>
              <w:left w:w="10" w:type="dxa"/>
              <w:right w:w="10" w:type="dxa"/>
            </w:tcMar>
            <w:vAlign w:val="cente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垃圾筐套有垃圾袋、筐内垃圾及时清理</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1434" w:hRule="atLeast"/>
          <w:jc w:val="center"/>
        </w:trPr>
        <w:tc>
          <w:tcPr>
            <w:tcW w:w="1333" w:type="dxa"/>
            <w:tcBorders>
              <w:top w:val="single" w:color="auto" w:sz="4" w:space="0"/>
              <w:right w:val="single" w:color="auto" w:sz="4" w:space="0"/>
            </w:tcBorders>
            <w:tcMar>
              <w:left w:w="10" w:type="dxa"/>
              <w:right w:w="10" w:type="dxa"/>
            </w:tcMar>
            <w:vAlign w:val="cente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服务规范与文明用语</w:t>
            </w:r>
          </w:p>
        </w:tc>
        <w:tc>
          <w:tcPr>
            <w:tcW w:w="8450" w:type="dxa"/>
            <w:tcBorders>
              <w:top w:val="single" w:color="auto" w:sz="4" w:space="0"/>
              <w:left w:val="single" w:color="auto" w:sz="4" w:space="0"/>
            </w:tcBorders>
            <w:tcMar>
              <w:left w:w="10" w:type="dxa"/>
              <w:right w:w="10" w:type="dxa"/>
            </w:tcMa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1.保洁员穿着统一的工作服上班；</w:t>
            </w:r>
          </w:p>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2.按照规范佩戴证件及工牌。工作服必须干净、整洁、无异味；</w:t>
            </w:r>
          </w:p>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3.工作期间须将衣扣全部扣好，不得将衣扣解开</w:t>
            </w:r>
          </w:p>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4. 捡拾物品要及时上交；</w:t>
            </w:r>
          </w:p>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5.不得违反各项工作的操作规程；</w:t>
            </w:r>
          </w:p>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6.遇到外来人员、须主动微笑问好，须使用文明用语。</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1434" w:hRule="atLeast"/>
          <w:jc w:val="center"/>
        </w:trPr>
        <w:tc>
          <w:tcPr>
            <w:tcW w:w="1333" w:type="dxa"/>
            <w:tcBorders>
              <w:top w:val="single" w:color="auto" w:sz="4" w:space="0"/>
              <w:left w:val="single" w:color="auto" w:sz="4" w:space="0"/>
              <w:bottom w:val="single" w:color="auto" w:sz="4" w:space="0"/>
              <w:right w:val="single" w:color="auto" w:sz="4" w:space="0"/>
            </w:tcBorders>
            <w:tcMar>
              <w:left w:w="10" w:type="dxa"/>
              <w:right w:w="10" w:type="dxa"/>
            </w:tcMar>
            <w:vAlign w:val="cente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安保服务</w:t>
            </w:r>
          </w:p>
        </w:tc>
        <w:tc>
          <w:tcPr>
            <w:tcW w:w="8450" w:type="dxa"/>
            <w:tcBorders>
              <w:top w:val="single" w:color="auto" w:sz="4" w:space="0"/>
              <w:left w:val="single" w:color="auto" w:sz="4" w:space="0"/>
              <w:bottom w:val="single" w:color="auto" w:sz="4" w:space="0"/>
              <w:right w:val="single" w:color="auto" w:sz="4" w:space="0"/>
            </w:tcBorders>
            <w:tcMar>
              <w:left w:w="10" w:type="dxa"/>
              <w:right w:w="10" w:type="dxa"/>
            </w:tcMa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1.保证院内设施、机动车安全，未经许可严禁楼内财产搬出，定时巡视，对车辆进行引导，避免乱停放；上下班高峰期时段，疏导车辆，避免造成交通堵塞；</w:t>
            </w:r>
          </w:p>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2.熟悉楼宇、院内格局，定时（每2小时）巡查一次，维护院内正常秩序，保证机动车有序停放，发现情况及时汇报，并妥善处理，发生突发事件及时报警；</w:t>
            </w:r>
          </w:p>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3.掌握消防器材使用方法，熟知器材摆放位置和消防通道走向，遇有火情及时报警并引导工作人员安全撤离；</w:t>
            </w:r>
          </w:p>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4.当班期间做好交接班记录、工作记录，要求记录全面、清晰，保证记录内容真实有效；</w:t>
            </w:r>
          </w:p>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5.对楼内、楼门前及停车场做好白天和夜间巡查，发现各种设施设备、消防管道、设施不能正常运行或其他违反安全规定的问题，要立即查明原因，及时处理，不能立即解决的检查人员向上级领导汇报；</w:t>
            </w:r>
          </w:p>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6.按时到指定地点巡更签到；</w:t>
            </w:r>
          </w:p>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7.做好访客登记工作，在征的被访问人同意后方可入内。</w:t>
            </w:r>
          </w:p>
        </w:tc>
      </w:tr>
    </w:tbl>
    <w:p>
      <w:pPr>
        <w:keepNext w:val="0"/>
        <w:keepLines w:val="0"/>
        <w:pageBreakBefore w:val="0"/>
        <w:widowControl w:val="0"/>
        <w:numPr>
          <w:ilvl w:val="0"/>
          <w:numId w:val="0"/>
        </w:numPr>
        <w:tabs>
          <w:tab w:val="left" w:pos="425"/>
        </w:tabs>
        <w:kinsoku/>
        <w:wordWrap/>
        <w:overflowPunct/>
        <w:topLinePunct w:val="0"/>
        <w:autoSpaceDE/>
        <w:autoSpaceDN/>
        <w:bidi w:val="0"/>
        <w:adjustRightInd/>
        <w:snapToGrid/>
        <w:spacing w:line="360" w:lineRule="auto"/>
        <w:ind w:firstLine="602" w:firstLineChars="200"/>
        <w:textAlignment w:val="auto"/>
        <w:rPr>
          <w:rFonts w:hint="eastAsia" w:ascii="仿宋_GB2312" w:hAnsi="Calibri" w:eastAsia="仿宋_GB2312" w:cs="Calibri"/>
          <w:b/>
          <w:bCs/>
          <w:color w:val="000000"/>
          <w:kern w:val="2"/>
          <w:sz w:val="30"/>
          <w:szCs w:val="30"/>
          <w:lang w:val="en-US" w:eastAsia="zh-CN" w:bidi="ar-SA"/>
        </w:rPr>
      </w:pPr>
      <w:r>
        <w:rPr>
          <w:rFonts w:hint="eastAsia" w:ascii="仿宋_GB2312" w:hAnsi="Calibri" w:eastAsia="仿宋_GB2312" w:cs="Calibri"/>
          <w:b/>
          <w:bCs/>
          <w:color w:val="000000"/>
          <w:kern w:val="2"/>
          <w:sz w:val="30"/>
          <w:szCs w:val="30"/>
          <w:lang w:val="en-US" w:eastAsia="zh-CN" w:bidi="ar-SA"/>
        </w:rPr>
        <w:t>（五）管理</w:t>
      </w:r>
    </w:p>
    <w:p>
      <w:pPr>
        <w:tabs>
          <w:tab w:val="left" w:pos="425"/>
        </w:tabs>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如投标方未按照合同约定给招标方提供合同约定的服务，或所提供的服务不满足合同约定的</w:t>
      </w:r>
      <w:r>
        <w:rPr>
          <w:rFonts w:hint="eastAsia" w:ascii="仿宋" w:hAnsi="仿宋" w:eastAsia="仿宋"/>
          <w:color w:val="000000"/>
          <w:sz w:val="28"/>
          <w:szCs w:val="28"/>
        </w:rPr>
        <w:t>标准，招标方有权对投标方通过以下两种方式进行违约处理及管控：如投标方在同一服务标准第一次未达标招标方有权给投标方下发整改通知单，投标方如未在整改期限内完成，招标方对投标方予以违约处罚200元，一月内连续发生超过三次，招标方对投标方予以违约处罚违约500元，并以此类推。</w:t>
      </w:r>
    </w:p>
    <w:p>
      <w:pPr>
        <w:keepNext w:val="0"/>
        <w:keepLines w:val="0"/>
        <w:pageBreakBefore w:val="0"/>
        <w:widowControl w:val="0"/>
        <w:numPr>
          <w:ilvl w:val="0"/>
          <w:numId w:val="0"/>
        </w:numPr>
        <w:tabs>
          <w:tab w:val="left" w:pos="425"/>
        </w:tabs>
        <w:kinsoku/>
        <w:wordWrap/>
        <w:overflowPunct/>
        <w:topLinePunct w:val="0"/>
        <w:autoSpaceDE/>
        <w:autoSpaceDN/>
        <w:bidi w:val="0"/>
        <w:adjustRightInd/>
        <w:snapToGrid/>
        <w:spacing w:line="360" w:lineRule="auto"/>
        <w:ind w:firstLine="602" w:firstLineChars="200"/>
        <w:textAlignment w:val="auto"/>
        <w:rPr>
          <w:rFonts w:hint="eastAsia" w:ascii="仿宋_GB2312" w:hAnsi="Calibri" w:eastAsia="仿宋_GB2312" w:cs="Calibri"/>
          <w:b/>
          <w:bCs/>
          <w:color w:val="000000"/>
          <w:kern w:val="2"/>
          <w:sz w:val="30"/>
          <w:szCs w:val="30"/>
          <w:lang w:val="en-US" w:eastAsia="zh-CN" w:bidi="ar-SA"/>
        </w:rPr>
      </w:pPr>
      <w:r>
        <w:rPr>
          <w:rFonts w:hint="eastAsia" w:ascii="仿宋_GB2312" w:hAnsi="Calibri" w:eastAsia="仿宋_GB2312" w:cs="Calibri"/>
          <w:b/>
          <w:bCs/>
          <w:color w:val="000000"/>
          <w:kern w:val="2"/>
          <w:sz w:val="30"/>
          <w:szCs w:val="30"/>
          <w:lang w:val="en-US" w:eastAsia="zh-CN" w:bidi="ar-SA"/>
        </w:rPr>
        <w:t>（六）验收标准</w:t>
      </w:r>
    </w:p>
    <w:p>
      <w:pPr>
        <w:ind w:firstLine="560" w:firstLineChars="200"/>
        <w:rPr>
          <w:rFonts w:ascii="仿宋" w:hAnsi="仿宋" w:eastAsia="仿宋"/>
          <w:color w:val="000000"/>
          <w:sz w:val="28"/>
          <w:szCs w:val="28"/>
        </w:rPr>
      </w:pPr>
      <w:r>
        <w:rPr>
          <w:rFonts w:hint="eastAsia" w:ascii="仿宋" w:hAnsi="仿宋" w:eastAsia="仿宋"/>
          <w:color w:val="000000"/>
          <w:sz w:val="28"/>
          <w:szCs w:val="28"/>
        </w:rPr>
        <w:t>投标方提供人员数量</w:t>
      </w:r>
      <w:r>
        <w:rPr>
          <w:rFonts w:hint="eastAsia" w:ascii="仿宋" w:hAnsi="仿宋" w:eastAsia="仿宋"/>
          <w:color w:val="000000"/>
          <w:sz w:val="28"/>
          <w:szCs w:val="28"/>
          <w:lang w:eastAsia="zh-CN"/>
        </w:rPr>
        <w:t>及相关要求</w:t>
      </w:r>
      <w:r>
        <w:rPr>
          <w:rFonts w:hint="eastAsia" w:ascii="仿宋" w:hAnsi="仿宋" w:eastAsia="仿宋"/>
          <w:color w:val="000000"/>
          <w:sz w:val="28"/>
          <w:szCs w:val="28"/>
        </w:rPr>
        <w:t>符合招标要求，且上岗人员经过招标方考核合格后，可验收。</w:t>
      </w:r>
    </w:p>
    <w:p>
      <w:pPr>
        <w:spacing w:line="360" w:lineRule="auto"/>
        <w:ind w:firstLine="562" w:firstLineChars="200"/>
        <w:jc w:val="left"/>
        <w:outlineLvl w:val="1"/>
        <w:rPr>
          <w:rFonts w:hint="eastAsia" w:ascii="仿宋" w:hAnsi="仿宋" w:eastAsia="仿宋" w:cs="Cambria"/>
          <w:b/>
          <w:bCs/>
          <w:kern w:val="0"/>
          <w:sz w:val="28"/>
          <w:szCs w:val="32"/>
        </w:rPr>
      </w:pPr>
      <w:bookmarkStart w:id="10" w:name="_Toc8972"/>
      <w:r>
        <w:rPr>
          <w:rFonts w:hint="eastAsia" w:ascii="仿宋" w:hAnsi="仿宋" w:eastAsia="仿宋" w:cs="Cambria"/>
          <w:b/>
          <w:bCs/>
          <w:kern w:val="0"/>
          <w:sz w:val="28"/>
          <w:szCs w:val="32"/>
        </w:rPr>
        <w:t>三、其他</w:t>
      </w:r>
      <w:bookmarkEnd w:id="10"/>
    </w:p>
    <w:p>
      <w:pPr>
        <w:ind w:firstLine="560" w:firstLineChars="200"/>
        <w:rPr>
          <w:rFonts w:hint="eastAsia" w:ascii="仿宋" w:hAnsi="仿宋" w:eastAsia="仿宋"/>
          <w:color w:val="000000"/>
          <w:sz w:val="28"/>
          <w:szCs w:val="28"/>
          <w:lang w:eastAsia="zh-CN"/>
        </w:rPr>
      </w:pPr>
      <w:r>
        <w:rPr>
          <w:rFonts w:hint="eastAsia" w:ascii="仿宋" w:hAnsi="仿宋" w:eastAsia="仿宋"/>
          <w:color w:val="000000"/>
          <w:sz w:val="28"/>
          <w:szCs w:val="28"/>
          <w:lang w:eastAsia="zh-CN"/>
        </w:rPr>
        <w:t xml:space="preserve">1、服务范围中服务内容的增加或减少以实际发生为准，各业务承接以交付的时间为准。 </w:t>
      </w:r>
    </w:p>
    <w:p>
      <w:pPr>
        <w:ind w:firstLine="560" w:firstLineChars="200"/>
        <w:rPr>
          <w:rFonts w:hint="eastAsia" w:ascii="仿宋" w:hAnsi="仿宋" w:eastAsia="仿宋"/>
          <w:color w:val="000000"/>
          <w:sz w:val="28"/>
          <w:szCs w:val="28"/>
          <w:lang w:eastAsia="zh-CN"/>
        </w:rPr>
      </w:pPr>
      <w:r>
        <w:rPr>
          <w:rFonts w:hint="eastAsia" w:ascii="仿宋" w:hAnsi="仿宋" w:eastAsia="仿宋"/>
          <w:color w:val="000000"/>
          <w:sz w:val="28"/>
          <w:szCs w:val="28"/>
          <w:lang w:eastAsia="zh-CN"/>
        </w:rPr>
        <w:t>2、请供应商如有疑问，请与项目联系人联系，联系时间截止为于</w:t>
      </w:r>
      <w:r>
        <w:rPr>
          <w:rFonts w:hint="eastAsia" w:ascii="仿宋" w:hAnsi="仿宋" w:eastAsia="仿宋"/>
          <w:color w:val="000000"/>
          <w:sz w:val="28"/>
          <w:szCs w:val="28"/>
          <w:lang w:val="en-US" w:eastAsia="zh-CN"/>
        </w:rPr>
        <w:t>6</w:t>
      </w:r>
      <w:r>
        <w:rPr>
          <w:rFonts w:hint="eastAsia" w:ascii="仿宋" w:hAnsi="仿宋" w:eastAsia="仿宋"/>
          <w:color w:val="000000"/>
          <w:sz w:val="28"/>
          <w:szCs w:val="28"/>
          <w:lang w:eastAsia="zh-CN"/>
        </w:rPr>
        <w:t>月</w:t>
      </w:r>
      <w:r>
        <w:rPr>
          <w:rFonts w:hint="eastAsia" w:ascii="仿宋" w:hAnsi="仿宋" w:eastAsia="仿宋"/>
          <w:color w:val="000000"/>
          <w:sz w:val="28"/>
          <w:szCs w:val="28"/>
          <w:lang w:val="en-US" w:eastAsia="zh-CN"/>
        </w:rPr>
        <w:t>17</w:t>
      </w:r>
      <w:r>
        <w:rPr>
          <w:rFonts w:hint="eastAsia" w:ascii="仿宋" w:hAnsi="仿宋" w:eastAsia="仿宋"/>
          <w:color w:val="000000"/>
          <w:sz w:val="28"/>
          <w:szCs w:val="28"/>
          <w:lang w:eastAsia="zh-CN"/>
        </w:rPr>
        <w:t>日17:00。</w:t>
      </w:r>
      <w:bookmarkStart w:id="64" w:name="_GoBack"/>
      <w:bookmarkEnd w:id="64"/>
    </w:p>
    <w:p>
      <w:pPr>
        <w:ind w:firstLine="560" w:firstLineChars="200"/>
        <w:rPr>
          <w:rFonts w:hint="default" w:ascii="仿宋" w:hAnsi="仿宋" w:eastAsia="仿宋"/>
          <w:color w:val="000000"/>
          <w:sz w:val="28"/>
          <w:szCs w:val="28"/>
          <w:lang w:val="en-US" w:eastAsia="zh-CN"/>
        </w:rPr>
      </w:pPr>
      <w:r>
        <w:rPr>
          <w:rFonts w:hint="eastAsia" w:ascii="仿宋" w:hAnsi="仿宋" w:eastAsia="仿宋"/>
          <w:color w:val="000000"/>
          <w:sz w:val="28"/>
          <w:szCs w:val="28"/>
          <w:lang w:eastAsia="zh-CN"/>
        </w:rPr>
        <w:t>联系人：何先生        联系电话：0477-38558</w:t>
      </w:r>
      <w:r>
        <w:rPr>
          <w:rFonts w:hint="eastAsia" w:ascii="仿宋" w:hAnsi="仿宋" w:eastAsia="仿宋"/>
          <w:color w:val="000000"/>
          <w:sz w:val="28"/>
          <w:szCs w:val="28"/>
          <w:lang w:val="en-US" w:eastAsia="zh-CN"/>
        </w:rPr>
        <w:t>23</w:t>
      </w:r>
    </w:p>
    <w:p>
      <w:pPr>
        <w:widowControl/>
        <w:rPr>
          <w:rFonts w:ascii="仿宋" w:hAnsi="仿宋" w:eastAsia="仿宋"/>
        </w:rPr>
      </w:pPr>
      <w:r>
        <w:rPr>
          <w:rFonts w:ascii="仿宋" w:hAnsi="仿宋" w:eastAsia="仿宋"/>
        </w:rPr>
        <w:br w:type="page"/>
      </w:r>
    </w:p>
    <w:p>
      <w:pPr>
        <w:pStyle w:val="2"/>
        <w:overflowPunct w:val="0"/>
        <w:spacing w:line="360" w:lineRule="auto"/>
        <w:rPr>
          <w:rFonts w:ascii="仿宋" w:hAnsi="仿宋" w:eastAsia="仿宋"/>
        </w:rPr>
      </w:pPr>
      <w:bookmarkStart w:id="11" w:name="_Toc21715"/>
      <w:bookmarkStart w:id="12" w:name="_Toc482106461"/>
      <w:r>
        <w:rPr>
          <w:rFonts w:hint="eastAsia" w:ascii="仿宋" w:hAnsi="仿宋" w:eastAsia="仿宋"/>
        </w:rPr>
        <w:t>第三章 投标人须知</w:t>
      </w:r>
      <w:bookmarkEnd w:id="11"/>
      <w:bookmarkEnd w:id="12"/>
    </w:p>
    <w:p>
      <w:pPr>
        <w:pStyle w:val="3"/>
        <w:overflowPunct w:val="0"/>
        <w:spacing w:line="360" w:lineRule="auto"/>
        <w:rPr>
          <w:rFonts w:ascii="仿宋" w:hAnsi="仿宋" w:eastAsia="仿宋"/>
          <w:sz w:val="28"/>
          <w:szCs w:val="28"/>
        </w:rPr>
      </w:pPr>
      <w:r>
        <w:rPr>
          <w:rFonts w:hint="eastAsia" w:ascii="仿宋" w:hAnsi="仿宋" w:eastAsia="仿宋"/>
          <w:sz w:val="28"/>
          <w:szCs w:val="28"/>
        </w:rPr>
        <w:t xml:space="preserve">    </w:t>
      </w:r>
      <w:bookmarkStart w:id="13" w:name="_Toc28692"/>
      <w:bookmarkStart w:id="14" w:name="_Toc482106462"/>
      <w:r>
        <w:rPr>
          <w:rFonts w:hint="eastAsia" w:ascii="仿宋" w:hAnsi="仿宋" w:eastAsia="仿宋"/>
          <w:sz w:val="28"/>
          <w:szCs w:val="28"/>
        </w:rPr>
        <w:t>一、供应商资格要求</w:t>
      </w:r>
      <w:bookmarkEnd w:id="13"/>
      <w:bookmarkEnd w:id="14"/>
    </w:p>
    <w:p>
      <w:pPr>
        <w:overflowPunct w:val="0"/>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供应商应符合《中华人民共和国政府采购法》第二十二条规定的条件。</w:t>
      </w:r>
    </w:p>
    <w:p>
      <w:pPr>
        <w:pStyle w:val="3"/>
        <w:overflowPunct w:val="0"/>
        <w:spacing w:line="360" w:lineRule="auto"/>
        <w:rPr>
          <w:rFonts w:ascii="仿宋" w:hAnsi="仿宋" w:eastAsia="仿宋"/>
          <w:sz w:val="28"/>
          <w:szCs w:val="28"/>
        </w:rPr>
      </w:pPr>
      <w:r>
        <w:rPr>
          <w:rFonts w:hint="eastAsia" w:ascii="仿宋" w:hAnsi="仿宋" w:eastAsia="仿宋"/>
          <w:sz w:val="28"/>
          <w:szCs w:val="28"/>
        </w:rPr>
        <w:t xml:space="preserve">    </w:t>
      </w:r>
      <w:bookmarkStart w:id="15" w:name="_Toc482106463"/>
      <w:bookmarkStart w:id="16" w:name="_Toc4350"/>
      <w:r>
        <w:rPr>
          <w:rFonts w:hint="eastAsia" w:ascii="仿宋" w:hAnsi="仿宋" w:eastAsia="仿宋"/>
          <w:sz w:val="28"/>
          <w:szCs w:val="28"/>
        </w:rPr>
        <w:t>二、响应文件的构成</w:t>
      </w:r>
      <w:bookmarkEnd w:id="15"/>
      <w:bookmarkEnd w:id="16"/>
    </w:p>
    <w:p>
      <w:pPr>
        <w:pStyle w:val="6"/>
        <w:overflowPunct w:val="0"/>
        <w:adjustRightInd w:val="0"/>
        <w:snapToGrid w:val="0"/>
        <w:spacing w:line="360" w:lineRule="auto"/>
        <w:ind w:firstLine="560" w:firstLineChars="200"/>
        <w:rPr>
          <w:rFonts w:ascii="仿宋" w:hAnsi="仿宋" w:eastAsia="仿宋"/>
          <w:bCs/>
          <w:color w:val="000000"/>
          <w:sz w:val="28"/>
          <w:szCs w:val="28"/>
        </w:rPr>
      </w:pPr>
      <w:r>
        <w:rPr>
          <w:rFonts w:hint="eastAsia" w:ascii="仿宋" w:hAnsi="仿宋" w:eastAsia="仿宋"/>
          <w:bCs/>
          <w:color w:val="000000"/>
          <w:sz w:val="28"/>
          <w:szCs w:val="28"/>
        </w:rPr>
        <w:t>供应商编制的响应文件应包括但不少于下列内容：</w:t>
      </w:r>
    </w:p>
    <w:p>
      <w:pPr>
        <w:overflowPunct w:val="0"/>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1、投标承诺书</w:t>
      </w:r>
    </w:p>
    <w:p>
      <w:pPr>
        <w:overflowPunct w:val="0"/>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2、委托代表投标时法人代表授权书</w:t>
      </w:r>
    </w:p>
    <w:p>
      <w:pPr>
        <w:overflowPunct w:val="0"/>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3、项目分项报价明细表</w:t>
      </w:r>
    </w:p>
    <w:p>
      <w:pPr>
        <w:overflowPunct w:val="0"/>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4、项目服务方案、承诺和质量保证措施</w:t>
      </w:r>
    </w:p>
    <w:p>
      <w:pPr>
        <w:overflowPunct w:val="0"/>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5、投标人情况介绍，包括办公场所、机构设置、技术力量、服务能力、质量管理、人员证书等</w:t>
      </w:r>
    </w:p>
    <w:p>
      <w:pPr>
        <w:overflowPunct w:val="0"/>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6、供应商应提供的各类证明材料</w:t>
      </w:r>
      <w:r>
        <w:rPr>
          <w:rFonts w:hint="eastAsia" w:ascii="宋体" w:hAnsi="宋体"/>
          <w:sz w:val="28"/>
          <w:szCs w:val="28"/>
        </w:rPr>
        <w:t>；</w:t>
      </w:r>
    </w:p>
    <w:p>
      <w:pPr>
        <w:overflowPunct w:val="0"/>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（1）投标人营业执照副本（三证合一）、开户许可证、行业主管部门或相关部门颁发的（获奖）证书等</w:t>
      </w:r>
    </w:p>
    <w:p>
      <w:pPr>
        <w:overflowPunct w:val="0"/>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（2）近三年以来有效的项目公司业绩、说明，中标通知书或相关合同复印件（须加盖公章）</w:t>
      </w:r>
    </w:p>
    <w:p>
      <w:pPr>
        <w:overflowPunct w:val="0"/>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（3）其他有利于投标的投标人的证明文件</w:t>
      </w:r>
    </w:p>
    <w:p>
      <w:pPr>
        <w:overflowPunct w:val="0"/>
        <w:spacing w:line="360" w:lineRule="auto"/>
        <w:ind w:right="114" w:firstLine="560" w:firstLineChars="200"/>
        <w:rPr>
          <w:rFonts w:ascii="仿宋" w:hAnsi="仿宋" w:eastAsia="仿宋"/>
          <w:color w:val="000000"/>
          <w:sz w:val="28"/>
          <w:szCs w:val="28"/>
        </w:rPr>
      </w:pPr>
      <w:r>
        <w:rPr>
          <w:rFonts w:hint="eastAsia" w:ascii="仿宋" w:hAnsi="仿宋" w:eastAsia="仿宋"/>
          <w:color w:val="000000"/>
          <w:kern w:val="0"/>
          <w:sz w:val="28"/>
          <w:szCs w:val="28"/>
        </w:rPr>
        <w:t>以上响应文件需递交正本1份，副本5份，PDF格式电子文档1份</w:t>
      </w:r>
      <w:r>
        <w:rPr>
          <w:rFonts w:hint="eastAsia" w:ascii="仿宋" w:hAnsi="仿宋" w:eastAsia="仿宋"/>
          <w:b/>
          <w:sz w:val="28"/>
          <w:szCs w:val="28"/>
        </w:rPr>
        <w:t>(U盘)</w:t>
      </w:r>
      <w:r>
        <w:rPr>
          <w:rFonts w:hint="eastAsia" w:ascii="仿宋" w:hAnsi="仿宋" w:eastAsia="仿宋"/>
          <w:color w:val="000000"/>
          <w:kern w:val="0"/>
          <w:sz w:val="28"/>
          <w:szCs w:val="28"/>
        </w:rPr>
        <w:t>；以上资料需签字、盖章的必须由法定代表人或经其授权的代表签字，并加盖公章,</w:t>
      </w:r>
      <w:r>
        <w:rPr>
          <w:rFonts w:hint="eastAsia" w:ascii="仿宋" w:hAnsi="仿宋" w:eastAsia="仿宋"/>
          <w:color w:val="FF0000"/>
          <w:kern w:val="0"/>
          <w:sz w:val="32"/>
          <w:szCs w:val="28"/>
        </w:rPr>
        <w:t>响应文件必须密封</w:t>
      </w:r>
      <w:r>
        <w:rPr>
          <w:rFonts w:hint="eastAsia" w:ascii="仿宋" w:hAnsi="仿宋" w:eastAsia="仿宋"/>
          <w:color w:val="000000"/>
          <w:kern w:val="0"/>
          <w:sz w:val="28"/>
          <w:szCs w:val="28"/>
        </w:rPr>
        <w:t>。</w:t>
      </w:r>
      <w:r>
        <w:rPr>
          <w:rFonts w:hint="eastAsia" w:ascii="仿宋" w:hAnsi="仿宋" w:eastAsia="仿宋"/>
          <w:color w:val="000000"/>
          <w:sz w:val="28"/>
          <w:szCs w:val="28"/>
        </w:rPr>
        <w:t>响应文件及资料无论供应商是否中标均不予退还。</w:t>
      </w:r>
    </w:p>
    <w:p>
      <w:pPr>
        <w:pStyle w:val="3"/>
        <w:overflowPunct w:val="0"/>
        <w:spacing w:line="360" w:lineRule="auto"/>
        <w:ind w:firstLine="562" w:firstLineChars="200"/>
        <w:rPr>
          <w:rFonts w:ascii="仿宋" w:hAnsi="仿宋" w:eastAsia="仿宋"/>
          <w:sz w:val="28"/>
        </w:rPr>
      </w:pPr>
      <w:bookmarkStart w:id="17" w:name="_Toc482106464"/>
      <w:bookmarkStart w:id="18" w:name="_Toc2282"/>
      <w:r>
        <w:rPr>
          <w:rFonts w:hint="eastAsia" w:ascii="仿宋" w:hAnsi="仿宋" w:eastAsia="仿宋"/>
          <w:sz w:val="28"/>
        </w:rPr>
        <w:t>三、评标与中标</w:t>
      </w:r>
      <w:bookmarkEnd w:id="17"/>
      <w:bookmarkEnd w:id="18"/>
    </w:p>
    <w:p>
      <w:pPr>
        <w:pStyle w:val="6"/>
        <w:overflowPunct w:val="0"/>
        <w:spacing w:line="360" w:lineRule="auto"/>
        <w:rPr>
          <w:rFonts w:ascii="仿宋" w:hAnsi="仿宋" w:eastAsia="仿宋"/>
          <w:color w:val="000000"/>
          <w:sz w:val="28"/>
          <w:szCs w:val="28"/>
        </w:rPr>
      </w:pPr>
      <w:r>
        <w:rPr>
          <w:rFonts w:hint="eastAsia" w:ascii="仿宋" w:hAnsi="仿宋" w:eastAsia="仿宋"/>
          <w:color w:val="000000"/>
          <w:sz w:val="28"/>
          <w:szCs w:val="28"/>
        </w:rPr>
        <w:t xml:space="preserve">    （一）成立磋商小组</w:t>
      </w:r>
    </w:p>
    <w:p>
      <w:pPr>
        <w:pStyle w:val="6"/>
        <w:overflowPunct w:val="0"/>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鄂尔多斯市空港实业有限公司采购管理部门组织成立竞争性磋商小组，小组将按照以下基本程序组织磋商：</w:t>
      </w:r>
    </w:p>
    <w:p>
      <w:pPr>
        <w:overflowPunct w:val="0"/>
        <w:snapToGrid w:val="0"/>
        <w:spacing w:line="360" w:lineRule="auto"/>
        <w:ind w:firstLine="610" w:firstLineChars="218"/>
        <w:rPr>
          <w:rFonts w:ascii="仿宋" w:hAnsi="仿宋" w:eastAsia="仿宋"/>
          <w:color w:val="000000"/>
          <w:sz w:val="28"/>
          <w:szCs w:val="28"/>
        </w:rPr>
      </w:pPr>
      <w:r>
        <w:rPr>
          <w:rFonts w:hint="eastAsia" w:ascii="仿宋" w:hAnsi="仿宋" w:eastAsia="仿宋"/>
          <w:color w:val="000000"/>
          <w:sz w:val="28"/>
          <w:szCs w:val="28"/>
        </w:rPr>
        <w:t>1、供应商签到；</w:t>
      </w:r>
    </w:p>
    <w:p>
      <w:pPr>
        <w:overflowPunct w:val="0"/>
        <w:snapToGrid w:val="0"/>
        <w:spacing w:line="360" w:lineRule="auto"/>
        <w:ind w:firstLine="610" w:firstLineChars="218"/>
        <w:rPr>
          <w:rFonts w:ascii="仿宋" w:hAnsi="仿宋" w:eastAsia="仿宋"/>
          <w:color w:val="000000"/>
          <w:sz w:val="28"/>
          <w:szCs w:val="28"/>
        </w:rPr>
      </w:pPr>
      <w:r>
        <w:rPr>
          <w:rFonts w:hint="eastAsia" w:ascii="仿宋" w:hAnsi="仿宋" w:eastAsia="仿宋"/>
          <w:color w:val="000000"/>
          <w:sz w:val="28"/>
          <w:szCs w:val="28"/>
        </w:rPr>
        <w:t>2、供应商资格及响应文件初审；</w:t>
      </w:r>
    </w:p>
    <w:p>
      <w:pPr>
        <w:overflowPunct w:val="0"/>
        <w:snapToGrid w:val="0"/>
        <w:spacing w:line="360" w:lineRule="auto"/>
        <w:ind w:firstLine="610" w:firstLineChars="218"/>
        <w:rPr>
          <w:rFonts w:ascii="仿宋" w:hAnsi="仿宋" w:eastAsia="仿宋"/>
          <w:color w:val="000000"/>
          <w:sz w:val="28"/>
          <w:szCs w:val="28"/>
        </w:rPr>
      </w:pPr>
      <w:r>
        <w:rPr>
          <w:rFonts w:hint="eastAsia" w:ascii="仿宋" w:hAnsi="仿宋" w:eastAsia="仿宋"/>
          <w:color w:val="000000"/>
          <w:sz w:val="28"/>
          <w:szCs w:val="28"/>
        </w:rPr>
        <w:t>3、与供应商针对报价及相关服务等内容依次进行项目谈判；</w:t>
      </w:r>
    </w:p>
    <w:p>
      <w:pPr>
        <w:overflowPunct w:val="0"/>
        <w:snapToGrid w:val="0"/>
        <w:spacing w:line="360" w:lineRule="auto"/>
        <w:ind w:firstLine="610" w:firstLineChars="218"/>
        <w:rPr>
          <w:rFonts w:ascii="仿宋" w:hAnsi="仿宋" w:eastAsia="仿宋"/>
          <w:color w:val="000000" w:themeColor="text1"/>
          <w:sz w:val="28"/>
          <w:szCs w:val="28"/>
        </w:rPr>
      </w:pPr>
      <w:r>
        <w:rPr>
          <w:rFonts w:hint="eastAsia" w:ascii="仿宋" w:hAnsi="仿宋" w:eastAsia="仿宋"/>
          <w:color w:val="000000" w:themeColor="text1"/>
          <w:sz w:val="28"/>
          <w:szCs w:val="28"/>
        </w:rPr>
        <w:t>4、根据谈判内容详细审查并评判；</w:t>
      </w:r>
    </w:p>
    <w:p>
      <w:pPr>
        <w:overflowPunct w:val="0"/>
        <w:snapToGrid w:val="0"/>
        <w:spacing w:line="360" w:lineRule="auto"/>
        <w:ind w:firstLine="610" w:firstLineChars="218"/>
        <w:rPr>
          <w:rFonts w:ascii="仿宋" w:hAnsi="仿宋" w:eastAsia="仿宋"/>
          <w:color w:val="000000" w:themeColor="text1"/>
          <w:sz w:val="28"/>
          <w:szCs w:val="28"/>
        </w:rPr>
      </w:pPr>
      <w:r>
        <w:rPr>
          <w:rFonts w:hint="eastAsia" w:ascii="仿宋" w:hAnsi="仿宋" w:eastAsia="仿宋"/>
          <w:color w:val="000000" w:themeColor="text1"/>
          <w:sz w:val="28"/>
          <w:szCs w:val="28"/>
        </w:rPr>
        <w:t>5、根据投标商综合情况推荐中标候选人。</w:t>
      </w:r>
    </w:p>
    <w:p>
      <w:pPr>
        <w:pStyle w:val="6"/>
        <w:overflowPunct w:val="0"/>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（二）磋商与评标</w:t>
      </w:r>
    </w:p>
    <w:p>
      <w:pPr>
        <w:pStyle w:val="6"/>
        <w:overflowPunct w:val="0"/>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1、资格初审</w:t>
      </w:r>
    </w:p>
    <w:p>
      <w:pPr>
        <w:overflowPunct w:val="0"/>
        <w:spacing w:line="288" w:lineRule="auto"/>
        <w:ind w:firstLine="630"/>
        <w:rPr>
          <w:rFonts w:ascii="仿宋" w:hAnsi="仿宋" w:eastAsia="仿宋"/>
          <w:color w:val="000000"/>
          <w:kern w:val="0"/>
          <w:sz w:val="28"/>
          <w:szCs w:val="28"/>
        </w:rPr>
      </w:pPr>
      <w:r>
        <w:rPr>
          <w:rFonts w:hint="eastAsia" w:ascii="仿宋" w:hAnsi="仿宋" w:eastAsia="仿宋"/>
          <w:color w:val="000000"/>
          <w:sz w:val="28"/>
          <w:szCs w:val="28"/>
        </w:rPr>
        <w:t>磋商小组各位评审对投标单位资质（带原件）、响应文件进行初审，</w:t>
      </w:r>
      <w:r>
        <w:rPr>
          <w:rFonts w:hint="eastAsia" w:ascii="仿宋" w:hAnsi="仿宋" w:eastAsia="仿宋"/>
          <w:color w:val="000000"/>
          <w:kern w:val="0"/>
          <w:sz w:val="28"/>
          <w:szCs w:val="28"/>
        </w:rPr>
        <w:t>初审内容包括但不限于：企业资质类材料原件及资质是否符合采购文件要求；供应商的法定代表人身份证明或授权委托人的委托书及身份证件，确认供应商代表身份的真实性；响应文件格式及报价内容是否符合采购文件要求等。</w:t>
      </w:r>
    </w:p>
    <w:p>
      <w:pPr>
        <w:overflowPunct w:val="0"/>
        <w:spacing w:line="288" w:lineRule="auto"/>
        <w:ind w:firstLine="630"/>
        <w:rPr>
          <w:rFonts w:ascii="仿宋" w:hAnsi="仿宋" w:eastAsia="仿宋"/>
          <w:color w:val="000000"/>
          <w:kern w:val="0"/>
          <w:sz w:val="28"/>
          <w:szCs w:val="28"/>
        </w:rPr>
      </w:pPr>
      <w:r>
        <w:rPr>
          <w:rFonts w:hint="eastAsia" w:ascii="仿宋" w:hAnsi="仿宋" w:eastAsia="仿宋"/>
          <w:color w:val="000000"/>
          <w:kern w:val="0"/>
          <w:sz w:val="28"/>
          <w:szCs w:val="28"/>
        </w:rPr>
        <w:t>各供应商代表身份真实性无法确定或供应商资质预审不合格的，不得参与本项目的竞争性磋商。响应文件不符合采购文件要求的，谈判小组集体协商决定处置情况，可允许供应商进行更正补救或取消该供应商谈判资格。</w:t>
      </w:r>
    </w:p>
    <w:p>
      <w:pPr>
        <w:overflowPunct w:val="0"/>
        <w:spacing w:line="288" w:lineRule="auto"/>
        <w:ind w:firstLine="630"/>
        <w:rPr>
          <w:rFonts w:ascii="仿宋" w:hAnsi="仿宋" w:eastAsia="仿宋"/>
          <w:color w:val="000000"/>
          <w:kern w:val="0"/>
          <w:sz w:val="28"/>
          <w:szCs w:val="28"/>
        </w:rPr>
      </w:pPr>
      <w:r>
        <w:rPr>
          <w:rFonts w:hint="eastAsia" w:ascii="仿宋" w:hAnsi="仿宋" w:eastAsia="仿宋"/>
          <w:color w:val="000000"/>
          <w:kern w:val="0"/>
          <w:sz w:val="28"/>
          <w:szCs w:val="28"/>
        </w:rPr>
        <w:t>2、谈判</w:t>
      </w:r>
    </w:p>
    <w:p>
      <w:pPr>
        <w:pStyle w:val="6"/>
        <w:overflowPunct w:val="0"/>
        <w:spacing w:line="288"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磋商小组对响应文件响应情况、报价、企业资质与业绩、执行合同能力等方面进行全面比较与评价，了解和掌握各实质性响应供应商的响应程度，进行项目谈判准备。</w:t>
      </w:r>
    </w:p>
    <w:p>
      <w:pPr>
        <w:pStyle w:val="6"/>
        <w:overflowPunct w:val="0"/>
        <w:spacing w:line="288"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通过投标商先后按时到场顺序确定参加谈判供应商的谈判顺序，所有磋商小组成员集体与每位供应商分别进行单独谈判，谈判轮次由小组成员视情况而定。</w:t>
      </w:r>
    </w:p>
    <w:p>
      <w:pPr>
        <w:pStyle w:val="6"/>
        <w:numPr>
          <w:ilvl w:val="0"/>
          <w:numId w:val="2"/>
        </w:numPr>
        <w:overflowPunct w:val="0"/>
        <w:spacing w:line="288"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评标原则</w:t>
      </w:r>
    </w:p>
    <w:p>
      <w:pPr>
        <w:overflowPunct w:val="0"/>
        <w:adjustRightInd w:val="0"/>
        <w:snapToGrid w:val="0"/>
        <w:spacing w:line="288" w:lineRule="auto"/>
        <w:ind w:right="-10" w:firstLine="490" w:firstLineChars="175"/>
        <w:rPr>
          <w:rFonts w:ascii="仿宋" w:hAnsi="仿宋" w:eastAsia="仿宋"/>
          <w:color w:val="000000"/>
          <w:kern w:val="0"/>
          <w:sz w:val="28"/>
          <w:szCs w:val="28"/>
        </w:rPr>
      </w:pPr>
      <w:r>
        <w:rPr>
          <w:rFonts w:hint="eastAsia" w:ascii="仿宋" w:hAnsi="仿宋" w:eastAsia="仿宋"/>
          <w:color w:val="000000"/>
          <w:kern w:val="0"/>
          <w:sz w:val="28"/>
          <w:szCs w:val="28"/>
        </w:rPr>
        <w:t>本项目</w:t>
      </w:r>
      <w:r>
        <w:rPr>
          <w:rFonts w:ascii="仿宋" w:hAnsi="仿宋" w:eastAsia="仿宋"/>
          <w:color w:val="000000"/>
          <w:kern w:val="0"/>
          <w:sz w:val="28"/>
          <w:szCs w:val="28"/>
        </w:rPr>
        <w:t>采用</w:t>
      </w:r>
      <w:r>
        <w:rPr>
          <w:rFonts w:hint="eastAsia" w:ascii="仿宋" w:hAnsi="仿宋" w:eastAsia="仿宋"/>
          <w:b/>
          <w:bCs/>
          <w:color w:val="000000" w:themeColor="text1"/>
          <w:kern w:val="0"/>
          <w:sz w:val="32"/>
          <w:szCs w:val="28"/>
          <w:u w:val="single"/>
        </w:rPr>
        <w:t>综合评估</w:t>
      </w:r>
      <w:r>
        <w:rPr>
          <w:rFonts w:ascii="仿宋" w:hAnsi="仿宋" w:eastAsia="仿宋"/>
          <w:b/>
          <w:bCs/>
          <w:color w:val="000000" w:themeColor="text1"/>
          <w:kern w:val="0"/>
          <w:sz w:val="32"/>
          <w:szCs w:val="28"/>
          <w:u w:val="single"/>
        </w:rPr>
        <w:t>法</w:t>
      </w:r>
      <w:r>
        <w:rPr>
          <w:rFonts w:ascii="仿宋" w:hAnsi="仿宋" w:eastAsia="仿宋"/>
          <w:color w:val="000000"/>
          <w:kern w:val="0"/>
          <w:sz w:val="28"/>
          <w:szCs w:val="28"/>
        </w:rPr>
        <w:t>进行评标，即在最大限度地满足</w:t>
      </w:r>
      <w:r>
        <w:rPr>
          <w:rFonts w:hint="eastAsia" w:ascii="仿宋" w:hAnsi="仿宋" w:eastAsia="仿宋"/>
          <w:color w:val="000000"/>
          <w:kern w:val="0"/>
          <w:sz w:val="28"/>
          <w:szCs w:val="28"/>
        </w:rPr>
        <w:t>采购</w:t>
      </w:r>
      <w:r>
        <w:rPr>
          <w:rFonts w:ascii="仿宋" w:hAnsi="仿宋" w:eastAsia="仿宋"/>
          <w:color w:val="000000"/>
          <w:kern w:val="0"/>
          <w:sz w:val="28"/>
          <w:szCs w:val="28"/>
        </w:rPr>
        <w:t>文件实质性要求前提下，按照</w:t>
      </w:r>
      <w:r>
        <w:rPr>
          <w:rFonts w:hint="eastAsia" w:ascii="仿宋" w:hAnsi="仿宋" w:eastAsia="仿宋"/>
          <w:color w:val="000000"/>
          <w:kern w:val="0"/>
          <w:sz w:val="28"/>
          <w:szCs w:val="28"/>
        </w:rPr>
        <w:t>采购</w:t>
      </w:r>
      <w:r>
        <w:rPr>
          <w:rFonts w:ascii="仿宋" w:hAnsi="仿宋" w:eastAsia="仿宋"/>
          <w:color w:val="000000"/>
          <w:kern w:val="0"/>
          <w:sz w:val="28"/>
          <w:szCs w:val="28"/>
        </w:rPr>
        <w:t>文件中规定的各项因素进行</w:t>
      </w:r>
      <w:r>
        <w:rPr>
          <w:rFonts w:hint="eastAsia" w:ascii="仿宋" w:hAnsi="仿宋" w:eastAsia="仿宋"/>
          <w:color w:val="000000"/>
          <w:kern w:val="0"/>
          <w:sz w:val="28"/>
          <w:szCs w:val="28"/>
        </w:rPr>
        <w:t>评估，并进行最优商家选取。</w:t>
      </w:r>
    </w:p>
    <w:p>
      <w:pPr>
        <w:overflowPunct w:val="0"/>
        <w:spacing w:line="288" w:lineRule="auto"/>
        <w:ind w:firstLine="560" w:firstLineChars="200"/>
        <w:rPr>
          <w:rFonts w:ascii="仿宋" w:hAnsi="仿宋" w:eastAsia="仿宋"/>
          <w:color w:val="000000"/>
          <w:kern w:val="0"/>
          <w:sz w:val="28"/>
          <w:szCs w:val="28"/>
        </w:rPr>
      </w:pPr>
      <w:r>
        <w:rPr>
          <w:rFonts w:hint="eastAsia" w:ascii="仿宋" w:hAnsi="仿宋" w:eastAsia="仿宋"/>
          <w:color w:val="000000"/>
          <w:kern w:val="0"/>
          <w:sz w:val="28"/>
          <w:szCs w:val="28"/>
        </w:rPr>
        <w:t>（三）确定成交供应商</w:t>
      </w:r>
    </w:p>
    <w:p>
      <w:pPr>
        <w:spacing w:line="360" w:lineRule="auto"/>
        <w:ind w:firstLine="560" w:firstLineChars="200"/>
        <w:rPr>
          <w:rFonts w:ascii="仿宋" w:hAnsi="仿宋" w:eastAsia="仿宋"/>
          <w:color w:val="000000"/>
          <w:kern w:val="0"/>
          <w:sz w:val="28"/>
          <w:szCs w:val="28"/>
        </w:rPr>
      </w:pPr>
      <w:r>
        <w:rPr>
          <w:rFonts w:hint="eastAsia" w:ascii="仿宋" w:hAnsi="仿宋" w:eastAsia="仿宋"/>
          <w:color w:val="000000"/>
          <w:kern w:val="0"/>
          <w:sz w:val="28"/>
          <w:szCs w:val="28"/>
        </w:rPr>
        <w:t>（1）在满足招标文件全部内容的基础上，磋商小组按照综合评估法，评审专家根据实际需求进行最优商家选取并进行推荐，获得最多票数商家为中标候选人。票数相同时，业绩多者优先。</w:t>
      </w:r>
    </w:p>
    <w:p>
      <w:pPr>
        <w:pStyle w:val="6"/>
        <w:spacing w:line="360" w:lineRule="auto"/>
        <w:ind w:firstLine="618" w:firstLineChars="221"/>
        <w:rPr>
          <w:rFonts w:ascii="仿宋" w:hAnsi="仿宋" w:eastAsia="仿宋"/>
          <w:color w:val="000000"/>
          <w:sz w:val="28"/>
          <w:szCs w:val="28"/>
        </w:rPr>
      </w:pPr>
      <w:r>
        <w:rPr>
          <w:rFonts w:hint="eastAsia" w:ascii="仿宋" w:hAnsi="仿宋" w:eastAsia="仿宋"/>
          <w:color w:val="000000"/>
          <w:sz w:val="28"/>
          <w:szCs w:val="28"/>
        </w:rPr>
        <w:t>（2）在谈判结束后，按照谈判小组推荐的中标候选人顺序确定排序第一的投标人为成交供应商，如成交供应商拒绝与采购人签订合同，或签订合同后无法履约的，磋商小组可以取消该供应商的中标资格，按顺序由排在其次的成交候选供应商递补，以此类推。</w:t>
      </w:r>
    </w:p>
    <w:p>
      <w:pPr>
        <w:pStyle w:val="6"/>
        <w:spacing w:line="360" w:lineRule="auto"/>
        <w:ind w:firstLine="618" w:firstLineChars="221"/>
        <w:rPr>
          <w:rFonts w:ascii="仿宋" w:hAnsi="仿宋" w:eastAsia="仿宋"/>
          <w:color w:val="000000"/>
          <w:sz w:val="28"/>
          <w:szCs w:val="28"/>
        </w:rPr>
      </w:pPr>
    </w:p>
    <w:p>
      <w:pPr>
        <w:pStyle w:val="6"/>
        <w:spacing w:line="360" w:lineRule="auto"/>
        <w:ind w:firstLine="618" w:firstLineChars="221"/>
        <w:rPr>
          <w:rFonts w:ascii="仿宋" w:hAnsi="仿宋" w:eastAsia="仿宋"/>
          <w:color w:val="000000"/>
          <w:sz w:val="28"/>
          <w:szCs w:val="28"/>
        </w:rPr>
      </w:pPr>
    </w:p>
    <w:p>
      <w:pPr>
        <w:pStyle w:val="6"/>
        <w:spacing w:line="360" w:lineRule="auto"/>
        <w:ind w:firstLine="618" w:firstLineChars="221"/>
        <w:rPr>
          <w:rFonts w:ascii="仿宋" w:hAnsi="仿宋" w:eastAsia="仿宋"/>
          <w:color w:val="000000"/>
          <w:sz w:val="28"/>
          <w:szCs w:val="28"/>
        </w:rPr>
      </w:pPr>
    </w:p>
    <w:p>
      <w:pPr>
        <w:pStyle w:val="6"/>
        <w:overflowPunct w:val="0"/>
        <w:spacing w:line="288" w:lineRule="auto"/>
        <w:ind w:firstLine="618" w:firstLineChars="221"/>
        <w:rPr>
          <w:rFonts w:ascii="仿宋" w:hAnsi="仿宋" w:eastAsia="仿宋"/>
          <w:color w:val="000000"/>
          <w:sz w:val="28"/>
          <w:szCs w:val="28"/>
        </w:rPr>
      </w:pPr>
    </w:p>
    <w:p>
      <w:pPr>
        <w:pStyle w:val="6"/>
        <w:overflowPunct w:val="0"/>
        <w:spacing w:line="288" w:lineRule="auto"/>
        <w:ind w:firstLine="618" w:firstLineChars="221"/>
        <w:rPr>
          <w:rFonts w:ascii="仿宋" w:hAnsi="仿宋" w:eastAsia="仿宋"/>
          <w:color w:val="000000"/>
          <w:sz w:val="28"/>
          <w:szCs w:val="28"/>
        </w:rPr>
      </w:pPr>
    </w:p>
    <w:p>
      <w:pPr>
        <w:pStyle w:val="6"/>
        <w:overflowPunct w:val="0"/>
        <w:spacing w:line="288" w:lineRule="auto"/>
        <w:ind w:firstLine="618" w:firstLineChars="221"/>
        <w:rPr>
          <w:rFonts w:ascii="仿宋" w:hAnsi="仿宋" w:eastAsia="仿宋"/>
          <w:color w:val="000000"/>
          <w:sz w:val="28"/>
          <w:szCs w:val="28"/>
        </w:rPr>
      </w:pPr>
    </w:p>
    <w:p>
      <w:pPr>
        <w:pStyle w:val="6"/>
        <w:overflowPunct w:val="0"/>
        <w:spacing w:line="288" w:lineRule="auto"/>
        <w:ind w:firstLine="618" w:firstLineChars="221"/>
        <w:rPr>
          <w:rFonts w:ascii="仿宋" w:hAnsi="仿宋" w:eastAsia="仿宋"/>
          <w:color w:val="000000"/>
          <w:sz w:val="28"/>
          <w:szCs w:val="28"/>
        </w:rPr>
      </w:pPr>
    </w:p>
    <w:p>
      <w:pPr>
        <w:pStyle w:val="6"/>
        <w:overflowPunct w:val="0"/>
        <w:spacing w:line="288" w:lineRule="auto"/>
        <w:ind w:firstLine="618" w:firstLineChars="221"/>
        <w:rPr>
          <w:rFonts w:ascii="仿宋" w:hAnsi="仿宋" w:eastAsia="仿宋"/>
          <w:color w:val="000000"/>
          <w:sz w:val="28"/>
          <w:szCs w:val="28"/>
        </w:rPr>
      </w:pPr>
    </w:p>
    <w:p>
      <w:pPr>
        <w:pStyle w:val="6"/>
        <w:overflowPunct w:val="0"/>
        <w:spacing w:line="288" w:lineRule="auto"/>
        <w:ind w:firstLine="618" w:firstLineChars="221"/>
        <w:rPr>
          <w:rFonts w:ascii="仿宋" w:hAnsi="仿宋" w:eastAsia="仿宋"/>
          <w:color w:val="000000"/>
          <w:sz w:val="28"/>
          <w:szCs w:val="28"/>
        </w:rPr>
      </w:pPr>
    </w:p>
    <w:p>
      <w:pPr>
        <w:pStyle w:val="6"/>
        <w:overflowPunct w:val="0"/>
        <w:spacing w:line="288" w:lineRule="auto"/>
        <w:ind w:firstLine="618" w:firstLineChars="221"/>
        <w:rPr>
          <w:rFonts w:ascii="仿宋" w:hAnsi="仿宋" w:eastAsia="仿宋"/>
          <w:color w:val="000000"/>
          <w:sz w:val="28"/>
          <w:szCs w:val="28"/>
        </w:rPr>
      </w:pPr>
    </w:p>
    <w:p>
      <w:pPr>
        <w:pStyle w:val="6"/>
        <w:overflowPunct w:val="0"/>
        <w:spacing w:line="288" w:lineRule="auto"/>
        <w:ind w:firstLine="618" w:firstLineChars="221"/>
        <w:rPr>
          <w:rFonts w:ascii="仿宋" w:hAnsi="仿宋" w:eastAsia="仿宋"/>
          <w:color w:val="000000"/>
          <w:sz w:val="28"/>
          <w:szCs w:val="28"/>
        </w:rPr>
      </w:pPr>
    </w:p>
    <w:p>
      <w:pPr>
        <w:pStyle w:val="6"/>
        <w:overflowPunct w:val="0"/>
        <w:spacing w:line="288" w:lineRule="auto"/>
        <w:ind w:firstLine="618" w:firstLineChars="221"/>
        <w:rPr>
          <w:rFonts w:ascii="仿宋" w:hAnsi="仿宋" w:eastAsia="仿宋"/>
          <w:color w:val="000000"/>
          <w:sz w:val="28"/>
          <w:szCs w:val="28"/>
        </w:rPr>
      </w:pPr>
    </w:p>
    <w:p>
      <w:pPr>
        <w:pStyle w:val="6"/>
        <w:overflowPunct w:val="0"/>
        <w:spacing w:line="288" w:lineRule="auto"/>
        <w:ind w:firstLine="618" w:firstLineChars="221"/>
        <w:rPr>
          <w:rFonts w:ascii="仿宋" w:hAnsi="仿宋" w:eastAsia="仿宋"/>
          <w:color w:val="000000"/>
          <w:sz w:val="28"/>
          <w:szCs w:val="28"/>
        </w:rPr>
      </w:pPr>
    </w:p>
    <w:p>
      <w:pPr>
        <w:pStyle w:val="2"/>
        <w:overflowPunct w:val="0"/>
        <w:spacing w:line="360" w:lineRule="auto"/>
        <w:rPr>
          <w:rFonts w:ascii="仿宋" w:hAnsi="仿宋" w:eastAsia="仿宋"/>
        </w:rPr>
      </w:pPr>
      <w:bookmarkStart w:id="19" w:name="_Toc14619"/>
      <w:bookmarkStart w:id="20" w:name="_Toc482106465"/>
      <w:r>
        <w:rPr>
          <w:rFonts w:hint="eastAsia" w:ascii="仿宋" w:hAnsi="仿宋" w:eastAsia="仿宋"/>
        </w:rPr>
        <w:t>第四章、响应文件格式与要求(参考)</w:t>
      </w:r>
      <w:bookmarkEnd w:id="19"/>
      <w:bookmarkEnd w:id="20"/>
    </w:p>
    <w:p>
      <w:pPr>
        <w:pStyle w:val="3"/>
        <w:overflowPunct w:val="0"/>
        <w:spacing w:line="415" w:lineRule="auto"/>
        <w:ind w:firstLine="562" w:firstLineChars="200"/>
        <w:rPr>
          <w:rFonts w:ascii="仿宋" w:hAnsi="仿宋" w:eastAsia="仿宋"/>
          <w:sz w:val="28"/>
        </w:rPr>
      </w:pPr>
      <w:bookmarkStart w:id="21" w:name="_Toc511901338"/>
      <w:bookmarkStart w:id="22" w:name="_Toc508179917"/>
      <w:bookmarkStart w:id="23" w:name="_Toc482106466"/>
      <w:bookmarkStart w:id="24" w:name="_Toc515961876"/>
      <w:bookmarkStart w:id="25" w:name="_Toc31340"/>
      <w:bookmarkStart w:id="26" w:name="_Toc10461"/>
      <w:r>
        <w:rPr>
          <w:rFonts w:hint="eastAsia" w:ascii="仿宋" w:hAnsi="仿宋" w:eastAsia="仿宋"/>
          <w:sz w:val="28"/>
        </w:rPr>
        <w:t>格式一：</w:t>
      </w:r>
      <w:bookmarkEnd w:id="21"/>
      <w:bookmarkEnd w:id="22"/>
      <w:bookmarkEnd w:id="23"/>
      <w:bookmarkEnd w:id="24"/>
      <w:bookmarkEnd w:id="25"/>
      <w:bookmarkEnd w:id="26"/>
    </w:p>
    <w:p>
      <w:pPr>
        <w:overflowPunct w:val="0"/>
        <w:jc w:val="center"/>
        <w:rPr>
          <w:rFonts w:ascii="仿宋" w:hAnsi="仿宋" w:eastAsia="仿宋"/>
        </w:rPr>
      </w:pPr>
      <w:r>
        <w:rPr>
          <w:rFonts w:hint="eastAsia" w:ascii="仿宋" w:hAnsi="仿宋" w:eastAsia="仿宋"/>
          <w:sz w:val="40"/>
        </w:rPr>
        <w:t>（相应文件封面）</w:t>
      </w:r>
    </w:p>
    <w:p>
      <w:pPr>
        <w:overflowPunct w:val="0"/>
        <w:jc w:val="center"/>
        <w:rPr>
          <w:rFonts w:ascii="仿宋" w:hAnsi="仿宋" w:eastAsia="仿宋"/>
          <w:sz w:val="52"/>
          <w:szCs w:val="52"/>
        </w:rPr>
      </w:pPr>
      <w:r>
        <w:rPr>
          <w:rFonts w:hint="eastAsia" w:ascii="仿宋" w:hAnsi="仿宋" w:eastAsia="仿宋"/>
          <w:sz w:val="52"/>
          <w:szCs w:val="52"/>
        </w:rPr>
        <w:t>询价/竞争性磋商响应文件</w:t>
      </w:r>
    </w:p>
    <w:p>
      <w:pPr>
        <w:overflowPunct w:val="0"/>
        <w:jc w:val="center"/>
        <w:rPr>
          <w:rFonts w:ascii="仿宋" w:hAnsi="仿宋" w:eastAsia="仿宋"/>
          <w:sz w:val="52"/>
          <w:szCs w:val="52"/>
        </w:rPr>
      </w:pPr>
      <w:r>
        <w:rPr>
          <w:rFonts w:hint="eastAsia" w:ascii="仿宋" w:hAnsi="仿宋" w:eastAsia="仿宋"/>
          <w:sz w:val="52"/>
          <w:szCs w:val="52"/>
        </w:rPr>
        <w:t>（正本/副本）</w:t>
      </w:r>
    </w:p>
    <w:p>
      <w:pPr>
        <w:overflowPunct w:val="0"/>
        <w:jc w:val="center"/>
        <w:rPr>
          <w:rFonts w:ascii="仿宋" w:hAnsi="仿宋" w:eastAsia="仿宋"/>
          <w:sz w:val="44"/>
          <w:szCs w:val="44"/>
        </w:rPr>
      </w:pPr>
      <w:r>
        <w:rPr>
          <w:rFonts w:hint="eastAsia" w:ascii="仿宋" w:hAnsi="仿宋" w:eastAsia="仿宋"/>
          <w:sz w:val="44"/>
          <w:szCs w:val="44"/>
        </w:rPr>
        <w:t>项目名称：</w:t>
      </w:r>
    </w:p>
    <w:p>
      <w:pPr>
        <w:overflowPunct w:val="0"/>
        <w:jc w:val="center"/>
        <w:rPr>
          <w:rFonts w:ascii="仿宋" w:hAnsi="仿宋" w:eastAsia="仿宋"/>
          <w:sz w:val="44"/>
          <w:szCs w:val="44"/>
        </w:rPr>
      </w:pPr>
      <w:r>
        <w:rPr>
          <w:rFonts w:hint="eastAsia" w:ascii="仿宋" w:hAnsi="仿宋" w:eastAsia="仿宋"/>
          <w:sz w:val="44"/>
          <w:szCs w:val="44"/>
        </w:rPr>
        <w:t>项目编号：</w:t>
      </w:r>
    </w:p>
    <w:p>
      <w:pPr>
        <w:overflowPunct w:val="0"/>
        <w:jc w:val="center"/>
        <w:rPr>
          <w:rFonts w:ascii="仿宋" w:hAnsi="仿宋" w:eastAsia="仿宋"/>
          <w:sz w:val="52"/>
          <w:szCs w:val="52"/>
        </w:rPr>
      </w:pPr>
    </w:p>
    <w:p>
      <w:pPr>
        <w:overflowPunct w:val="0"/>
        <w:jc w:val="center"/>
        <w:rPr>
          <w:rFonts w:ascii="仿宋" w:hAnsi="仿宋" w:eastAsia="仿宋"/>
          <w:sz w:val="52"/>
          <w:szCs w:val="52"/>
        </w:rPr>
      </w:pPr>
    </w:p>
    <w:p>
      <w:pPr>
        <w:overflowPunct w:val="0"/>
        <w:jc w:val="center"/>
        <w:rPr>
          <w:rFonts w:ascii="仿宋" w:hAnsi="仿宋" w:eastAsia="仿宋"/>
          <w:sz w:val="52"/>
          <w:szCs w:val="52"/>
        </w:rPr>
      </w:pPr>
    </w:p>
    <w:p>
      <w:pPr>
        <w:overflowPunct w:val="0"/>
        <w:jc w:val="center"/>
        <w:rPr>
          <w:rFonts w:ascii="仿宋" w:hAnsi="仿宋" w:eastAsia="仿宋"/>
          <w:sz w:val="52"/>
          <w:szCs w:val="52"/>
        </w:rPr>
      </w:pPr>
    </w:p>
    <w:p>
      <w:pPr>
        <w:overflowPunct w:val="0"/>
        <w:jc w:val="center"/>
        <w:rPr>
          <w:rFonts w:ascii="仿宋" w:hAnsi="仿宋" w:eastAsia="仿宋"/>
          <w:sz w:val="44"/>
          <w:szCs w:val="44"/>
        </w:rPr>
      </w:pPr>
      <w:r>
        <w:rPr>
          <w:rFonts w:hint="eastAsia" w:ascii="仿宋" w:hAnsi="仿宋" w:eastAsia="仿宋"/>
          <w:sz w:val="44"/>
          <w:szCs w:val="44"/>
        </w:rPr>
        <w:t>竞标人名称</w:t>
      </w:r>
    </w:p>
    <w:p>
      <w:pPr>
        <w:overflowPunct w:val="0"/>
        <w:jc w:val="center"/>
        <w:rPr>
          <w:rFonts w:ascii="仿宋" w:hAnsi="仿宋" w:eastAsia="仿宋"/>
          <w:sz w:val="44"/>
          <w:szCs w:val="44"/>
        </w:rPr>
      </w:pPr>
    </w:p>
    <w:p>
      <w:pPr>
        <w:overflowPunct w:val="0"/>
        <w:jc w:val="center"/>
        <w:rPr>
          <w:rFonts w:ascii="仿宋" w:hAnsi="仿宋" w:eastAsia="仿宋"/>
          <w:sz w:val="44"/>
          <w:szCs w:val="44"/>
        </w:rPr>
      </w:pPr>
      <w:r>
        <w:rPr>
          <w:rFonts w:hint="eastAsia" w:ascii="仿宋" w:hAnsi="仿宋" w:eastAsia="仿宋"/>
          <w:sz w:val="44"/>
          <w:szCs w:val="44"/>
        </w:rPr>
        <w:t>年    月    日</w:t>
      </w: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pStyle w:val="3"/>
        <w:overflowPunct w:val="0"/>
        <w:spacing w:line="415" w:lineRule="auto"/>
        <w:rPr>
          <w:rFonts w:ascii="仿宋" w:hAnsi="仿宋" w:eastAsia="仿宋"/>
        </w:rPr>
      </w:pPr>
      <w:bookmarkStart w:id="27" w:name="_Toc515961877"/>
      <w:bookmarkStart w:id="28" w:name="_Toc508179918"/>
      <w:bookmarkStart w:id="29" w:name="_Toc511901339"/>
      <w:bookmarkStart w:id="30" w:name="_Toc482106467"/>
      <w:bookmarkStart w:id="31" w:name="_Toc8808"/>
      <w:bookmarkStart w:id="32" w:name="_Toc16397"/>
      <w:r>
        <w:rPr>
          <w:rFonts w:hint="eastAsia" w:ascii="仿宋" w:hAnsi="仿宋" w:eastAsia="仿宋"/>
        </w:rPr>
        <w:t>格式二：</w:t>
      </w:r>
      <w:bookmarkEnd w:id="27"/>
      <w:bookmarkEnd w:id="28"/>
      <w:bookmarkEnd w:id="29"/>
      <w:bookmarkEnd w:id="30"/>
      <w:bookmarkEnd w:id="31"/>
      <w:bookmarkEnd w:id="32"/>
    </w:p>
    <w:p>
      <w:pPr>
        <w:overflowPunct w:val="0"/>
        <w:jc w:val="center"/>
        <w:rPr>
          <w:rFonts w:ascii="仿宋" w:hAnsi="仿宋" w:eastAsia="仿宋"/>
          <w:sz w:val="32"/>
          <w:szCs w:val="32"/>
        </w:rPr>
      </w:pPr>
      <w:r>
        <w:rPr>
          <w:rFonts w:hint="eastAsia" w:ascii="仿宋" w:hAnsi="仿宋" w:eastAsia="仿宋"/>
          <w:sz w:val="32"/>
          <w:szCs w:val="32"/>
        </w:rPr>
        <w:t>目录</w:t>
      </w:r>
    </w:p>
    <w:p>
      <w:pPr>
        <w:overflowPunct w:val="0"/>
        <w:rPr>
          <w:rFonts w:ascii="仿宋" w:hAnsi="仿宋" w:eastAsia="仿宋"/>
          <w:sz w:val="32"/>
          <w:szCs w:val="32"/>
        </w:rPr>
      </w:pPr>
    </w:p>
    <w:p>
      <w:pPr>
        <w:overflowPunct w:val="0"/>
        <w:spacing w:line="480" w:lineRule="exact"/>
        <w:jc w:val="center"/>
        <w:rPr>
          <w:rFonts w:ascii="仿宋" w:hAnsi="仿宋" w:eastAsia="仿宋"/>
          <w:b/>
          <w:color w:val="000000"/>
          <w:sz w:val="28"/>
          <w:szCs w:val="28"/>
        </w:rPr>
      </w:pPr>
    </w:p>
    <w:p>
      <w:pPr>
        <w:overflowPunct w:val="0"/>
        <w:spacing w:line="360" w:lineRule="auto"/>
        <w:rPr>
          <w:rFonts w:ascii="仿宋" w:hAnsi="仿宋" w:eastAsia="仿宋"/>
          <w:color w:val="000000"/>
          <w:sz w:val="28"/>
          <w:szCs w:val="28"/>
        </w:rPr>
      </w:pPr>
      <w:r>
        <w:rPr>
          <w:rFonts w:hint="eastAsia" w:ascii="仿宋" w:hAnsi="仿宋" w:eastAsia="仿宋"/>
          <w:color w:val="000000"/>
          <w:sz w:val="28"/>
          <w:szCs w:val="28"/>
        </w:rPr>
        <w:t>一、投标承诺书…………………………………………………………（ ）</w:t>
      </w:r>
    </w:p>
    <w:p>
      <w:pPr>
        <w:overflowPunct w:val="0"/>
        <w:spacing w:line="360" w:lineRule="auto"/>
        <w:rPr>
          <w:rFonts w:ascii="仿宋" w:hAnsi="仿宋" w:eastAsia="仿宋"/>
          <w:color w:val="000000"/>
          <w:sz w:val="28"/>
          <w:szCs w:val="28"/>
        </w:rPr>
      </w:pPr>
      <w:r>
        <w:rPr>
          <w:rFonts w:hint="eastAsia" w:ascii="仿宋" w:hAnsi="仿宋" w:eastAsia="仿宋"/>
          <w:color w:val="000000"/>
          <w:sz w:val="28"/>
          <w:szCs w:val="28"/>
        </w:rPr>
        <w:t>二、法定代表人授权委托书……………………………………………（ ）</w:t>
      </w:r>
    </w:p>
    <w:p>
      <w:pPr>
        <w:overflowPunct w:val="0"/>
        <w:spacing w:line="360" w:lineRule="auto"/>
        <w:rPr>
          <w:rFonts w:ascii="仿宋" w:hAnsi="仿宋" w:eastAsia="仿宋"/>
          <w:color w:val="000000"/>
          <w:sz w:val="28"/>
          <w:szCs w:val="28"/>
        </w:rPr>
      </w:pPr>
      <w:r>
        <w:rPr>
          <w:rFonts w:hint="eastAsia" w:ascii="仿宋" w:hAnsi="仿宋" w:eastAsia="仿宋"/>
          <w:color w:val="000000"/>
          <w:sz w:val="28"/>
          <w:szCs w:val="28"/>
        </w:rPr>
        <w:t>三、项目分项报价明细表………………………………………………（ ）</w:t>
      </w:r>
    </w:p>
    <w:p>
      <w:pPr>
        <w:overflowPunct w:val="0"/>
        <w:spacing w:line="360" w:lineRule="auto"/>
        <w:rPr>
          <w:rFonts w:ascii="仿宋" w:hAnsi="仿宋" w:eastAsia="仿宋"/>
          <w:color w:val="000000"/>
          <w:sz w:val="28"/>
          <w:szCs w:val="28"/>
        </w:rPr>
      </w:pPr>
      <w:r>
        <w:rPr>
          <w:rFonts w:hint="eastAsia" w:ascii="仿宋" w:hAnsi="仿宋" w:eastAsia="仿宋"/>
          <w:color w:val="000000"/>
          <w:sz w:val="28"/>
          <w:szCs w:val="28"/>
        </w:rPr>
        <w:t>四、项目服务方案、承诺和质量保证措施……………………………（ ）</w:t>
      </w:r>
    </w:p>
    <w:p>
      <w:pPr>
        <w:overflowPunct w:val="0"/>
        <w:spacing w:line="360" w:lineRule="auto"/>
        <w:rPr>
          <w:rFonts w:ascii="仿宋" w:hAnsi="仿宋" w:eastAsia="仿宋"/>
          <w:color w:val="000000"/>
          <w:sz w:val="28"/>
          <w:szCs w:val="28"/>
        </w:rPr>
      </w:pPr>
      <w:r>
        <w:rPr>
          <w:rFonts w:hint="eastAsia" w:ascii="仿宋" w:hAnsi="仿宋" w:eastAsia="仿宋"/>
          <w:color w:val="000000"/>
          <w:sz w:val="28"/>
          <w:szCs w:val="28"/>
        </w:rPr>
        <w:t>五、各类</w:t>
      </w:r>
      <w:r>
        <w:rPr>
          <w:rFonts w:hint="eastAsia" w:ascii="仿宋" w:hAnsi="仿宋" w:eastAsia="仿宋"/>
          <w:color w:val="000000"/>
          <w:sz w:val="28"/>
          <w:szCs w:val="28"/>
          <w:lang w:val="zh-CN"/>
        </w:rPr>
        <w:t>证明材料</w:t>
      </w:r>
      <w:r>
        <w:rPr>
          <w:rFonts w:hint="eastAsia" w:ascii="仿宋" w:hAnsi="仿宋" w:eastAsia="仿宋"/>
          <w:color w:val="000000"/>
          <w:sz w:val="28"/>
          <w:szCs w:val="28"/>
        </w:rPr>
        <w:t>………………… ………… ……………………… （ ）</w:t>
      </w:r>
    </w:p>
    <w:p>
      <w:pPr>
        <w:overflowPunct w:val="0"/>
        <w:jc w:val="center"/>
        <w:rPr>
          <w:rFonts w:ascii="仿宋" w:hAnsi="仿宋" w:eastAsia="仿宋"/>
          <w:sz w:val="32"/>
          <w:szCs w:val="32"/>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pStyle w:val="3"/>
        <w:overflowPunct w:val="0"/>
        <w:spacing w:line="415" w:lineRule="auto"/>
        <w:rPr>
          <w:rFonts w:ascii="仿宋" w:hAnsi="仿宋" w:eastAsia="仿宋"/>
        </w:rPr>
      </w:pPr>
      <w:bookmarkStart w:id="33" w:name="_Toc482106468"/>
      <w:bookmarkStart w:id="34" w:name="_Toc515961878"/>
      <w:bookmarkStart w:id="35" w:name="_Toc511901340"/>
      <w:bookmarkStart w:id="36" w:name="_Toc508179919"/>
      <w:bookmarkStart w:id="37" w:name="_Toc14935"/>
      <w:bookmarkStart w:id="38" w:name="_Toc20679"/>
      <w:r>
        <w:rPr>
          <w:rFonts w:hint="eastAsia" w:ascii="仿宋" w:hAnsi="仿宋" w:eastAsia="仿宋"/>
        </w:rPr>
        <w:t>格式三</w:t>
      </w:r>
      <w:bookmarkEnd w:id="33"/>
      <w:bookmarkEnd w:id="34"/>
      <w:bookmarkEnd w:id="35"/>
      <w:bookmarkEnd w:id="36"/>
      <w:bookmarkEnd w:id="37"/>
      <w:bookmarkEnd w:id="38"/>
    </w:p>
    <w:p>
      <w:pPr>
        <w:overflowPunct w:val="0"/>
        <w:spacing w:line="520" w:lineRule="exact"/>
        <w:jc w:val="center"/>
        <w:rPr>
          <w:rFonts w:ascii="仿宋" w:hAnsi="仿宋" w:eastAsia="仿宋"/>
          <w:bCs/>
          <w:color w:val="000000"/>
          <w:sz w:val="28"/>
          <w:szCs w:val="28"/>
        </w:rPr>
      </w:pPr>
      <w:r>
        <w:rPr>
          <w:rFonts w:hint="eastAsia" w:ascii="仿宋" w:hAnsi="仿宋" w:eastAsia="仿宋"/>
          <w:bCs/>
          <w:color w:val="000000"/>
          <w:sz w:val="28"/>
          <w:szCs w:val="28"/>
        </w:rPr>
        <w:t>投标承诺书</w:t>
      </w:r>
    </w:p>
    <w:p>
      <w:pPr>
        <w:overflowPunct w:val="0"/>
        <w:spacing w:line="520" w:lineRule="exact"/>
        <w:ind w:firstLine="56" w:firstLineChars="20"/>
        <w:rPr>
          <w:rFonts w:ascii="仿宋" w:hAnsi="仿宋" w:eastAsia="仿宋"/>
          <w:color w:val="000000"/>
          <w:sz w:val="28"/>
          <w:szCs w:val="28"/>
        </w:rPr>
      </w:pPr>
      <w:r>
        <w:rPr>
          <w:rFonts w:hint="eastAsia" w:ascii="仿宋" w:hAnsi="仿宋" w:eastAsia="仿宋"/>
          <w:color w:val="000000"/>
          <w:sz w:val="28"/>
          <w:szCs w:val="28"/>
        </w:rPr>
        <w:t xml:space="preserve">鄂尔多斯市空港实业有限公司： </w:t>
      </w:r>
    </w:p>
    <w:p>
      <w:pPr>
        <w:overflowPunct w:val="0"/>
        <w:spacing w:line="520" w:lineRule="exact"/>
        <w:ind w:firstLine="616" w:firstLineChars="220"/>
        <w:rPr>
          <w:rFonts w:ascii="仿宋" w:hAnsi="仿宋" w:eastAsia="仿宋"/>
          <w:color w:val="000000"/>
          <w:sz w:val="28"/>
          <w:szCs w:val="28"/>
        </w:rPr>
      </w:pPr>
      <w:r>
        <w:rPr>
          <w:rFonts w:hint="eastAsia" w:ascii="仿宋" w:hAnsi="仿宋" w:eastAsia="仿宋"/>
          <w:color w:val="000000"/>
          <w:sz w:val="28"/>
          <w:szCs w:val="28"/>
        </w:rPr>
        <w:t>1.按照已收到的项目编号为</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的</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采购项目采购文件要求，经我公司/本人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pPr>
        <w:overflowPunct w:val="0"/>
        <w:spacing w:line="520" w:lineRule="exact"/>
        <w:ind w:firstLine="616" w:firstLineChars="220"/>
        <w:rPr>
          <w:rFonts w:ascii="仿宋" w:hAnsi="仿宋" w:eastAsia="仿宋"/>
          <w:color w:val="000000"/>
          <w:sz w:val="28"/>
          <w:szCs w:val="28"/>
        </w:rPr>
      </w:pPr>
      <w:r>
        <w:rPr>
          <w:rFonts w:hint="eastAsia" w:ascii="仿宋" w:hAnsi="仿宋" w:eastAsia="仿宋"/>
          <w:color w:val="000000"/>
          <w:sz w:val="28"/>
          <w:szCs w:val="28"/>
        </w:rPr>
        <w:t>2.一旦我方中标，我方保证在合同签订后履行服务内容。</w:t>
      </w:r>
    </w:p>
    <w:p>
      <w:pPr>
        <w:overflowPunct w:val="0"/>
        <w:spacing w:line="520" w:lineRule="exact"/>
        <w:ind w:firstLine="57"/>
        <w:rPr>
          <w:rFonts w:ascii="仿宋" w:hAnsi="仿宋" w:eastAsia="仿宋"/>
          <w:color w:val="000000"/>
          <w:sz w:val="28"/>
          <w:szCs w:val="28"/>
        </w:rPr>
      </w:pPr>
      <w:r>
        <w:rPr>
          <w:rFonts w:hint="eastAsia" w:ascii="仿宋" w:hAnsi="仿宋" w:eastAsia="仿宋"/>
          <w:color w:val="000000"/>
          <w:sz w:val="28"/>
          <w:szCs w:val="28"/>
        </w:rPr>
        <w:t xml:space="preserve">    3.我方同意所递交的响应文件在“投标须知”规定的投标有效期内有效，在此期间内我方的投标如能中标，我方将受此约束。</w:t>
      </w:r>
    </w:p>
    <w:p>
      <w:pPr>
        <w:overflowPunct w:val="0"/>
        <w:spacing w:line="520" w:lineRule="exact"/>
        <w:ind w:firstLine="616" w:firstLineChars="220"/>
        <w:rPr>
          <w:rFonts w:ascii="仿宋" w:hAnsi="仿宋" w:eastAsia="仿宋"/>
          <w:color w:val="000000"/>
          <w:sz w:val="28"/>
          <w:szCs w:val="28"/>
        </w:rPr>
      </w:pPr>
      <w:r>
        <w:rPr>
          <w:rFonts w:hint="eastAsia" w:ascii="仿宋" w:hAnsi="仿宋" w:eastAsia="仿宋"/>
          <w:color w:val="000000"/>
          <w:sz w:val="28"/>
          <w:szCs w:val="28"/>
        </w:rPr>
        <w:t>4.我方郑重声明：所提供的响应文件内容全部真实有效。</w:t>
      </w:r>
    </w:p>
    <w:p>
      <w:pPr>
        <w:overflowPunct w:val="0"/>
        <w:spacing w:line="520" w:lineRule="exact"/>
        <w:ind w:firstLine="616" w:firstLineChars="220"/>
        <w:rPr>
          <w:rFonts w:ascii="仿宋" w:hAnsi="仿宋" w:eastAsia="仿宋"/>
          <w:color w:val="000000"/>
          <w:sz w:val="28"/>
          <w:szCs w:val="28"/>
        </w:rPr>
      </w:pPr>
      <w:r>
        <w:rPr>
          <w:rFonts w:hint="eastAsia" w:ascii="仿宋" w:hAnsi="仿宋" w:eastAsia="仿宋"/>
          <w:color w:val="000000"/>
          <w:sz w:val="28"/>
          <w:szCs w:val="28"/>
        </w:rPr>
        <w:t>5.我方</w:t>
      </w:r>
      <w:r>
        <w:rPr>
          <w:rFonts w:hint="eastAsia" w:ascii="仿宋" w:hAnsi="仿宋" w:eastAsia="仿宋"/>
          <w:color w:val="000000"/>
          <w:kern w:val="0"/>
          <w:sz w:val="28"/>
          <w:szCs w:val="28"/>
        </w:rPr>
        <w:t>接受招标文件所列须知中关于没收投标保证金的约定。</w:t>
      </w:r>
    </w:p>
    <w:p>
      <w:pPr>
        <w:overflowPunct w:val="0"/>
        <w:spacing w:line="520" w:lineRule="exact"/>
        <w:ind w:firstLine="616" w:firstLineChars="220"/>
        <w:rPr>
          <w:rFonts w:ascii="仿宋" w:hAnsi="仿宋" w:eastAsia="仿宋"/>
          <w:color w:val="000000"/>
          <w:sz w:val="28"/>
          <w:szCs w:val="28"/>
        </w:rPr>
      </w:pPr>
      <w:r>
        <w:rPr>
          <w:rFonts w:hint="eastAsia" w:ascii="仿宋" w:hAnsi="仿宋" w:eastAsia="仿宋"/>
          <w:color w:val="000000"/>
          <w:sz w:val="28"/>
          <w:szCs w:val="28"/>
        </w:rPr>
        <w:t>6.我方同意提供</w:t>
      </w:r>
      <w:r>
        <w:rPr>
          <w:rFonts w:hint="eastAsia" w:ascii="仿宋" w:hAnsi="仿宋" w:eastAsia="仿宋"/>
          <w:color w:val="000000"/>
          <w:kern w:val="0"/>
          <w:sz w:val="28"/>
          <w:szCs w:val="28"/>
        </w:rPr>
        <w:t>按照贵方</w:t>
      </w:r>
      <w:r>
        <w:rPr>
          <w:rFonts w:hint="eastAsia" w:ascii="仿宋" w:hAnsi="仿宋" w:eastAsia="仿宋"/>
          <w:color w:val="000000"/>
          <w:sz w:val="28"/>
          <w:szCs w:val="28"/>
        </w:rPr>
        <w:t>可能另外要求的与其投标有关的任何数据或资料。除非另外达成协议并生效，否则，中标通知书和本响应文件将构成约束双方合同的组成部分。</w:t>
      </w:r>
    </w:p>
    <w:p>
      <w:pPr>
        <w:overflowPunct w:val="0"/>
        <w:spacing w:line="520" w:lineRule="exact"/>
        <w:ind w:firstLine="845" w:firstLineChars="302"/>
        <w:rPr>
          <w:rFonts w:ascii="仿宋" w:hAnsi="仿宋" w:eastAsia="仿宋"/>
          <w:color w:val="000000"/>
          <w:kern w:val="0"/>
          <w:sz w:val="28"/>
          <w:szCs w:val="28"/>
          <w:u w:val="single"/>
        </w:rPr>
      </w:pPr>
      <w:r>
        <w:rPr>
          <w:rFonts w:hint="eastAsia" w:ascii="仿宋" w:hAnsi="仿宋" w:eastAsia="仿宋"/>
          <w:color w:val="000000"/>
          <w:kern w:val="0"/>
          <w:sz w:val="28"/>
          <w:szCs w:val="28"/>
        </w:rPr>
        <w:t>供应商名称：</w:t>
      </w:r>
    </w:p>
    <w:p>
      <w:pPr>
        <w:overflowPunct w:val="0"/>
        <w:autoSpaceDE w:val="0"/>
        <w:autoSpaceDN w:val="0"/>
        <w:adjustRightInd w:val="0"/>
        <w:spacing w:line="520" w:lineRule="exact"/>
        <w:ind w:right="246" w:firstLine="840" w:firstLineChars="300"/>
        <w:rPr>
          <w:rFonts w:ascii="仿宋" w:hAnsi="仿宋" w:eastAsia="仿宋"/>
          <w:color w:val="000000"/>
          <w:sz w:val="28"/>
          <w:szCs w:val="28"/>
        </w:rPr>
      </w:pPr>
      <w:r>
        <w:rPr>
          <w:rFonts w:hint="eastAsia" w:ascii="仿宋" w:hAnsi="仿宋" w:eastAsia="仿宋"/>
          <w:color w:val="000000"/>
          <w:kern w:val="0"/>
          <w:sz w:val="28"/>
          <w:szCs w:val="28"/>
        </w:rPr>
        <w:t xml:space="preserve">详细地址：                        </w:t>
      </w:r>
      <w:r>
        <w:rPr>
          <w:rFonts w:hint="eastAsia" w:ascii="仿宋" w:hAnsi="仿宋" w:eastAsia="仿宋"/>
          <w:color w:val="000000"/>
          <w:sz w:val="28"/>
          <w:szCs w:val="28"/>
        </w:rPr>
        <w:t>邮政编码：</w:t>
      </w:r>
    </w:p>
    <w:p>
      <w:pPr>
        <w:overflowPunct w:val="0"/>
        <w:autoSpaceDE w:val="0"/>
        <w:autoSpaceDN w:val="0"/>
        <w:adjustRightInd w:val="0"/>
        <w:spacing w:line="520" w:lineRule="exact"/>
        <w:ind w:right="246" w:firstLine="840" w:firstLineChars="300"/>
        <w:rPr>
          <w:rFonts w:ascii="仿宋" w:hAnsi="仿宋" w:eastAsia="仿宋"/>
          <w:color w:val="000000"/>
          <w:kern w:val="0"/>
          <w:sz w:val="28"/>
          <w:szCs w:val="28"/>
        </w:rPr>
      </w:pPr>
      <w:r>
        <w:rPr>
          <w:rFonts w:hint="eastAsia" w:ascii="仿宋" w:hAnsi="仿宋" w:eastAsia="仿宋"/>
          <w:color w:val="000000"/>
          <w:kern w:val="0"/>
          <w:sz w:val="28"/>
          <w:szCs w:val="28"/>
        </w:rPr>
        <w:t>电    话：        传    真：      电子函件：</w:t>
      </w:r>
    </w:p>
    <w:p>
      <w:pPr>
        <w:overflowPunct w:val="0"/>
        <w:autoSpaceDE w:val="0"/>
        <w:autoSpaceDN w:val="0"/>
        <w:adjustRightInd w:val="0"/>
        <w:spacing w:line="520" w:lineRule="exact"/>
        <w:ind w:right="246" w:firstLine="840" w:firstLineChars="300"/>
        <w:rPr>
          <w:rFonts w:ascii="仿宋" w:hAnsi="仿宋" w:eastAsia="仿宋"/>
          <w:color w:val="000000"/>
          <w:sz w:val="28"/>
          <w:szCs w:val="28"/>
        </w:rPr>
      </w:pPr>
      <w:r>
        <w:rPr>
          <w:rFonts w:hint="eastAsia" w:ascii="仿宋" w:hAnsi="仿宋" w:eastAsia="仿宋"/>
          <w:color w:val="000000"/>
          <w:sz w:val="28"/>
          <w:szCs w:val="28"/>
        </w:rPr>
        <w:t>供应商开户银行：                  账号/行号：</w:t>
      </w:r>
    </w:p>
    <w:p>
      <w:pPr>
        <w:overflowPunct w:val="0"/>
        <w:adjustRightInd w:val="0"/>
        <w:snapToGrid w:val="0"/>
        <w:spacing w:line="520" w:lineRule="exact"/>
        <w:ind w:firstLine="840" w:firstLineChars="300"/>
        <w:rPr>
          <w:rFonts w:ascii="仿宋" w:hAnsi="仿宋" w:eastAsia="仿宋"/>
          <w:color w:val="000000"/>
          <w:sz w:val="28"/>
          <w:szCs w:val="28"/>
        </w:rPr>
      </w:pPr>
      <w:r>
        <w:rPr>
          <w:rFonts w:hint="eastAsia" w:ascii="仿宋" w:hAnsi="仿宋" w:eastAsia="仿宋"/>
          <w:color w:val="000000"/>
          <w:sz w:val="28"/>
          <w:szCs w:val="28"/>
        </w:rPr>
        <w:t>供应商法人签字：</w:t>
      </w:r>
    </w:p>
    <w:p>
      <w:pPr>
        <w:overflowPunct w:val="0"/>
        <w:adjustRightInd w:val="0"/>
        <w:snapToGrid w:val="0"/>
        <w:spacing w:line="520" w:lineRule="exact"/>
        <w:ind w:firstLine="840" w:firstLineChars="300"/>
        <w:rPr>
          <w:rFonts w:ascii="仿宋" w:hAnsi="仿宋" w:eastAsia="仿宋"/>
          <w:color w:val="000000"/>
          <w:sz w:val="28"/>
          <w:szCs w:val="28"/>
          <w:u w:val="single"/>
        </w:rPr>
      </w:pPr>
      <w:r>
        <w:rPr>
          <w:rFonts w:hint="eastAsia" w:ascii="仿宋" w:hAnsi="仿宋" w:eastAsia="仿宋"/>
          <w:color w:val="000000"/>
          <w:sz w:val="28"/>
          <w:szCs w:val="28"/>
        </w:rPr>
        <w:t>供应商法人授权代表签字：</w:t>
      </w:r>
    </w:p>
    <w:p>
      <w:pPr>
        <w:overflowPunct w:val="0"/>
        <w:autoSpaceDE w:val="0"/>
        <w:autoSpaceDN w:val="0"/>
        <w:spacing w:line="520" w:lineRule="exact"/>
        <w:ind w:firstLine="5460" w:firstLineChars="1950"/>
        <w:rPr>
          <w:rFonts w:ascii="仿宋" w:hAnsi="仿宋" w:eastAsia="仿宋"/>
          <w:color w:val="000000"/>
          <w:sz w:val="28"/>
          <w:szCs w:val="28"/>
        </w:rPr>
      </w:pPr>
      <w:r>
        <w:rPr>
          <w:rFonts w:hint="eastAsia" w:ascii="仿宋" w:hAnsi="仿宋" w:eastAsia="仿宋"/>
          <w:color w:val="000000"/>
          <w:sz w:val="28"/>
          <w:szCs w:val="28"/>
        </w:rPr>
        <w:t>供应商名称(公章)：</w:t>
      </w:r>
    </w:p>
    <w:p>
      <w:pPr>
        <w:overflowPunct w:val="0"/>
        <w:autoSpaceDE w:val="0"/>
        <w:autoSpaceDN w:val="0"/>
        <w:spacing w:line="450" w:lineRule="exact"/>
        <w:ind w:firstLine="6020" w:firstLineChars="2150"/>
        <w:rPr>
          <w:rFonts w:ascii="仿宋" w:hAnsi="仿宋" w:eastAsia="仿宋"/>
          <w:color w:val="000000"/>
          <w:sz w:val="28"/>
          <w:szCs w:val="28"/>
        </w:rPr>
      </w:pPr>
      <w:r>
        <w:rPr>
          <w:rFonts w:hint="eastAsia" w:ascii="仿宋" w:hAnsi="仿宋" w:eastAsia="仿宋"/>
          <w:color w:val="000000"/>
          <w:sz w:val="28"/>
          <w:szCs w:val="28"/>
        </w:rPr>
        <w:t>年 月 日</w:t>
      </w:r>
    </w:p>
    <w:p>
      <w:pPr>
        <w:overflowPunct w:val="0"/>
        <w:autoSpaceDE w:val="0"/>
        <w:autoSpaceDN w:val="0"/>
        <w:spacing w:line="450" w:lineRule="exact"/>
        <w:ind w:firstLine="6020" w:firstLineChars="2150"/>
        <w:rPr>
          <w:rFonts w:ascii="仿宋" w:hAnsi="仿宋" w:eastAsia="仿宋"/>
          <w:color w:val="000000"/>
          <w:sz w:val="28"/>
          <w:szCs w:val="28"/>
        </w:rPr>
      </w:pPr>
    </w:p>
    <w:p>
      <w:pPr>
        <w:overflowPunct w:val="0"/>
        <w:autoSpaceDE w:val="0"/>
        <w:autoSpaceDN w:val="0"/>
        <w:spacing w:line="450" w:lineRule="exact"/>
        <w:ind w:firstLine="6020" w:firstLineChars="2150"/>
        <w:rPr>
          <w:rFonts w:ascii="仿宋" w:hAnsi="仿宋" w:eastAsia="仿宋"/>
          <w:color w:val="000000"/>
          <w:sz w:val="28"/>
          <w:szCs w:val="28"/>
        </w:rPr>
      </w:pPr>
    </w:p>
    <w:p>
      <w:pPr>
        <w:pStyle w:val="3"/>
        <w:overflowPunct w:val="0"/>
        <w:spacing w:line="415" w:lineRule="auto"/>
        <w:rPr>
          <w:rFonts w:ascii="仿宋" w:hAnsi="仿宋" w:eastAsia="仿宋"/>
        </w:rPr>
      </w:pPr>
      <w:bookmarkStart w:id="39" w:name="_Toc508179920"/>
      <w:bookmarkStart w:id="40" w:name="_Toc482106469"/>
      <w:bookmarkStart w:id="41" w:name="_Toc515961879"/>
      <w:bookmarkStart w:id="42" w:name="_Toc511901341"/>
      <w:bookmarkStart w:id="43" w:name="_Toc3795"/>
      <w:bookmarkStart w:id="44" w:name="_Toc16038"/>
      <w:r>
        <w:rPr>
          <w:rFonts w:hint="eastAsia" w:ascii="仿宋" w:hAnsi="仿宋" w:eastAsia="仿宋"/>
        </w:rPr>
        <w:t>格式四</w:t>
      </w:r>
      <w:bookmarkEnd w:id="39"/>
      <w:bookmarkEnd w:id="40"/>
      <w:bookmarkEnd w:id="41"/>
      <w:bookmarkEnd w:id="42"/>
      <w:bookmarkEnd w:id="43"/>
      <w:bookmarkEnd w:id="44"/>
    </w:p>
    <w:p>
      <w:pPr>
        <w:overflowPunct w:val="0"/>
        <w:jc w:val="center"/>
        <w:rPr>
          <w:rFonts w:ascii="仿宋" w:hAnsi="仿宋" w:eastAsia="仿宋"/>
          <w:sz w:val="28"/>
          <w:szCs w:val="28"/>
        </w:rPr>
      </w:pPr>
      <w:r>
        <w:rPr>
          <w:rFonts w:hint="eastAsia" w:ascii="仿宋" w:hAnsi="仿宋" w:eastAsia="仿宋"/>
          <w:sz w:val="28"/>
          <w:szCs w:val="28"/>
        </w:rPr>
        <w:t>法定代表人授权委托书</w:t>
      </w:r>
    </w:p>
    <w:p>
      <w:pPr>
        <w:overflowPunct w:val="0"/>
        <w:spacing w:line="480" w:lineRule="exact"/>
        <w:ind w:firstLine="840" w:firstLineChars="30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t xml:space="preserve">兹委派我单位 </w:t>
      </w:r>
      <w:r>
        <w:rPr>
          <w:rFonts w:hint="eastAsia" w:ascii="仿宋" w:hAnsi="仿宋" w:eastAsia="仿宋"/>
          <w:sz w:val="28"/>
          <w:szCs w:val="28"/>
        </w:rPr>
        <w:t xml:space="preserve">       </w:t>
      </w:r>
      <w:r>
        <w:rPr>
          <w:rFonts w:ascii="仿宋" w:hAnsi="仿宋" w:eastAsia="仿宋"/>
          <w:sz w:val="28"/>
          <w:szCs w:val="28"/>
        </w:rPr>
        <w:t xml:space="preserve">（姓名）参加贵单位组织的          </w:t>
      </w:r>
      <w:r>
        <w:rPr>
          <w:rFonts w:hint="eastAsia" w:ascii="仿宋" w:hAnsi="仿宋" w:eastAsia="仿宋"/>
          <w:sz w:val="28"/>
          <w:szCs w:val="28"/>
        </w:rPr>
        <w:t xml:space="preserve">        </w:t>
      </w:r>
      <w:r>
        <w:rPr>
          <w:rFonts w:ascii="仿宋" w:hAnsi="仿宋" w:eastAsia="仿宋"/>
          <w:sz w:val="28"/>
          <w:szCs w:val="28"/>
        </w:rPr>
        <w:t>采购活动（项目编号：</w:t>
      </w:r>
      <w:r>
        <w:rPr>
          <w:rFonts w:hint="eastAsia" w:ascii="仿宋" w:hAnsi="仿宋" w:eastAsia="仿宋"/>
          <w:sz w:val="28"/>
          <w:szCs w:val="28"/>
        </w:rPr>
        <w:t xml:space="preserve">          </w:t>
      </w:r>
      <w:r>
        <w:rPr>
          <w:rFonts w:ascii="仿宋" w:hAnsi="仿宋" w:eastAsia="仿宋"/>
          <w:sz w:val="28"/>
          <w:szCs w:val="28"/>
        </w:rPr>
        <w:t>），委派人全权代表我单位处理本次竞标中的有关事务，并签署全部有关文件、协议及合同。我单位对委托代理人签署内容负全部责任。</w:t>
      </w: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t>本授权书于签字盖章后生效，在贵</w:t>
      </w:r>
      <w:r>
        <w:rPr>
          <w:rFonts w:hint="eastAsia" w:ascii="仿宋" w:hAnsi="仿宋" w:eastAsia="仿宋"/>
          <w:sz w:val="28"/>
          <w:szCs w:val="28"/>
        </w:rPr>
        <w:t>公司</w:t>
      </w:r>
      <w:r>
        <w:rPr>
          <w:rFonts w:ascii="仿宋" w:hAnsi="仿宋" w:eastAsia="仿宋"/>
          <w:sz w:val="28"/>
          <w:szCs w:val="28"/>
        </w:rPr>
        <w:t>收到撤消授权的书面通知以前，本授权书一直有效。被授权人签署的所有文件不因授权的撤消而失效。</w:t>
      </w: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t>委托代理人无转委权。</w:t>
      </w: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t>特此委托。</w:t>
      </w: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pict>
          <v:shape id="Text Box 2" o:spid="_x0000_s2053" o:spt="202" type="#_x0000_t202" style="position:absolute;left:0pt;margin-left:270pt;margin-top:9.6pt;height:150pt;width:198pt;z-index:251657216;mso-width-relative:page;mso-height-relative:page;" o:preferrelative="t" coordsize="21600,21600">
            <v:path/>
            <v:fill focussize="0,0"/>
            <v:stroke miterlimit="2"/>
            <v:imagedata o:title=""/>
            <o:lock v:ext="edit"/>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w:r>
      <w:r>
        <w:rPr>
          <w:rFonts w:ascii="仿宋" w:hAnsi="仿宋" w:eastAsia="仿宋"/>
          <w:sz w:val="28"/>
          <w:szCs w:val="28"/>
        </w:rPr>
        <w:pict>
          <v:shape id="Text Box 3" o:spid="_x0000_s2052" o:spt="202" type="#_x0000_t202" style="position:absolute;left:0pt;margin-left:-9pt;margin-top:8.6pt;height:150pt;width:207pt;z-index:251658240;mso-width-relative:page;mso-height-relative:page;" o:preferrelative="t" coordsize="21600,21600">
            <v:path/>
            <v:fill focussize="0,0"/>
            <v:stroke miterlimit="2"/>
            <v:imagedata o:title=""/>
            <o:lock v:ext="edit"/>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w: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t>竞标人：（公章）</w:t>
      </w: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t>法定代表人：（签字）</w:t>
      </w: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t xml:space="preserve">                                   年   月   日</w:t>
      </w:r>
    </w:p>
    <w:p>
      <w:pPr>
        <w:overflowPunct w:val="0"/>
        <w:spacing w:line="450" w:lineRule="exact"/>
        <w:ind w:firstLine="56" w:firstLineChars="20"/>
        <w:rPr>
          <w:rFonts w:ascii="仿宋" w:hAnsi="仿宋" w:eastAsia="仿宋"/>
          <w:sz w:val="28"/>
          <w:szCs w:val="28"/>
        </w:rPr>
      </w:pPr>
    </w:p>
    <w:p>
      <w:pPr>
        <w:overflowPunct w:val="0"/>
        <w:rPr>
          <w:rFonts w:ascii="仿宋" w:hAnsi="仿宋" w:eastAsia="仿宋"/>
          <w:sz w:val="28"/>
          <w:szCs w:val="28"/>
        </w:rPr>
      </w:pPr>
    </w:p>
    <w:p>
      <w:pPr>
        <w:pStyle w:val="3"/>
        <w:overflowPunct w:val="0"/>
        <w:spacing w:line="415" w:lineRule="auto"/>
        <w:rPr>
          <w:rFonts w:ascii="仿宋" w:hAnsi="仿宋" w:eastAsia="仿宋"/>
        </w:rPr>
      </w:pPr>
      <w:bookmarkStart w:id="45" w:name="_Toc508179921"/>
      <w:bookmarkStart w:id="46" w:name="_Toc482106470"/>
      <w:bookmarkStart w:id="47" w:name="_Toc511901342"/>
      <w:bookmarkStart w:id="48" w:name="_Toc515961880"/>
      <w:bookmarkStart w:id="49" w:name="_Toc27668"/>
      <w:bookmarkStart w:id="50" w:name="_Toc6323"/>
      <w:r>
        <w:rPr>
          <w:rFonts w:hint="eastAsia" w:ascii="仿宋" w:hAnsi="仿宋" w:eastAsia="仿宋"/>
        </w:rPr>
        <w:t>格式五</w:t>
      </w:r>
      <w:bookmarkEnd w:id="45"/>
      <w:bookmarkEnd w:id="46"/>
      <w:bookmarkEnd w:id="47"/>
      <w:bookmarkEnd w:id="48"/>
      <w:bookmarkEnd w:id="49"/>
      <w:bookmarkEnd w:id="50"/>
    </w:p>
    <w:p>
      <w:pPr>
        <w:overflowPunct w:val="0"/>
        <w:jc w:val="center"/>
        <w:rPr>
          <w:rFonts w:ascii="仿宋" w:hAnsi="仿宋" w:eastAsia="仿宋"/>
          <w:sz w:val="28"/>
          <w:szCs w:val="28"/>
        </w:rPr>
      </w:pPr>
      <w:r>
        <w:rPr>
          <w:rFonts w:hint="eastAsia" w:ascii="仿宋" w:hAnsi="仿宋" w:eastAsia="仿宋"/>
          <w:sz w:val="28"/>
          <w:szCs w:val="28"/>
        </w:rPr>
        <w:t>投标项目分项报价明细表</w:t>
      </w:r>
    </w:p>
    <w:p>
      <w:pPr>
        <w:overflowPunct w:val="0"/>
        <w:rPr>
          <w:rFonts w:ascii="仿宋" w:hAnsi="仿宋" w:eastAsia="仿宋"/>
          <w:sz w:val="28"/>
          <w:szCs w:val="28"/>
        </w:rPr>
      </w:pPr>
      <w:r>
        <w:rPr>
          <w:rFonts w:hint="eastAsia" w:ascii="仿宋" w:hAnsi="仿宋" w:eastAsia="仿宋"/>
          <w:sz w:val="28"/>
          <w:szCs w:val="28"/>
        </w:rPr>
        <w:t>项目名称：</w:t>
      </w:r>
    </w:p>
    <w:tbl>
      <w:tblPr>
        <w:tblStyle w:val="13"/>
        <w:tblW w:w="9092" w:type="dxa"/>
        <w:jc w:val="center"/>
        <w:tblInd w:w="-4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2"/>
        <w:gridCol w:w="2184"/>
        <w:gridCol w:w="1650"/>
        <w:gridCol w:w="1005"/>
        <w:gridCol w:w="1410"/>
        <w:gridCol w:w="15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1" w:hRule="atLeast"/>
          <w:jc w:val="center"/>
        </w:trPr>
        <w:tc>
          <w:tcPr>
            <w:tcW w:w="1342" w:type="dxa"/>
            <w:vAlign w:val="center"/>
          </w:tcPr>
          <w:p>
            <w:pPr>
              <w:overflowPunct w:val="0"/>
              <w:jc w:val="center"/>
              <w:rPr>
                <w:rFonts w:ascii="仿宋" w:hAnsi="仿宋" w:eastAsia="仿宋"/>
                <w:b/>
                <w:sz w:val="24"/>
                <w:szCs w:val="28"/>
              </w:rPr>
            </w:pPr>
            <w:r>
              <w:rPr>
                <w:rFonts w:hint="eastAsia" w:ascii="仿宋" w:hAnsi="仿宋" w:eastAsia="仿宋"/>
                <w:b/>
                <w:sz w:val="24"/>
                <w:szCs w:val="28"/>
              </w:rPr>
              <w:t>序号</w:t>
            </w:r>
          </w:p>
        </w:tc>
        <w:tc>
          <w:tcPr>
            <w:tcW w:w="2184" w:type="dxa"/>
            <w:vAlign w:val="center"/>
          </w:tcPr>
          <w:p>
            <w:pPr>
              <w:overflowPunct w:val="0"/>
              <w:jc w:val="center"/>
              <w:rPr>
                <w:rFonts w:ascii="仿宋" w:hAnsi="仿宋" w:eastAsia="仿宋"/>
                <w:b/>
                <w:sz w:val="24"/>
                <w:szCs w:val="28"/>
              </w:rPr>
            </w:pPr>
            <w:r>
              <w:rPr>
                <w:rFonts w:hint="eastAsia" w:ascii="仿宋" w:hAnsi="仿宋" w:eastAsia="仿宋"/>
                <w:b/>
                <w:sz w:val="24"/>
                <w:szCs w:val="28"/>
              </w:rPr>
              <w:t>名称</w:t>
            </w:r>
          </w:p>
        </w:tc>
        <w:tc>
          <w:tcPr>
            <w:tcW w:w="1650" w:type="dxa"/>
            <w:vAlign w:val="center"/>
          </w:tcPr>
          <w:p>
            <w:pPr>
              <w:overflowPunct w:val="0"/>
              <w:rPr>
                <w:rFonts w:ascii="仿宋" w:hAnsi="仿宋" w:eastAsia="仿宋"/>
                <w:b/>
                <w:sz w:val="24"/>
                <w:szCs w:val="28"/>
              </w:rPr>
            </w:pPr>
            <w:r>
              <w:rPr>
                <w:rFonts w:hint="eastAsia" w:ascii="仿宋" w:hAnsi="仿宋" w:eastAsia="仿宋"/>
                <w:b/>
                <w:sz w:val="24"/>
                <w:szCs w:val="28"/>
              </w:rPr>
              <w:t>单价（元）</w:t>
            </w:r>
          </w:p>
        </w:tc>
        <w:tc>
          <w:tcPr>
            <w:tcW w:w="1005" w:type="dxa"/>
            <w:vAlign w:val="center"/>
          </w:tcPr>
          <w:p>
            <w:pPr>
              <w:overflowPunct w:val="0"/>
              <w:jc w:val="center"/>
              <w:rPr>
                <w:rFonts w:ascii="仿宋" w:hAnsi="仿宋" w:eastAsia="仿宋"/>
                <w:b/>
                <w:sz w:val="24"/>
                <w:szCs w:val="28"/>
              </w:rPr>
            </w:pPr>
            <w:r>
              <w:rPr>
                <w:rFonts w:hint="eastAsia" w:ascii="仿宋" w:hAnsi="仿宋" w:eastAsia="仿宋"/>
                <w:b/>
                <w:sz w:val="24"/>
                <w:szCs w:val="28"/>
              </w:rPr>
              <w:t>数量</w:t>
            </w:r>
          </w:p>
        </w:tc>
        <w:tc>
          <w:tcPr>
            <w:tcW w:w="1410" w:type="dxa"/>
            <w:vAlign w:val="center"/>
          </w:tcPr>
          <w:p>
            <w:pPr>
              <w:overflowPunct w:val="0"/>
              <w:jc w:val="center"/>
              <w:rPr>
                <w:rFonts w:ascii="仿宋" w:hAnsi="仿宋" w:eastAsia="仿宋"/>
                <w:b/>
                <w:sz w:val="24"/>
                <w:szCs w:val="28"/>
              </w:rPr>
            </w:pPr>
            <w:r>
              <w:rPr>
                <w:rFonts w:hint="eastAsia" w:ascii="仿宋" w:hAnsi="仿宋" w:eastAsia="仿宋"/>
                <w:b/>
                <w:sz w:val="24"/>
                <w:szCs w:val="28"/>
              </w:rPr>
              <w:t>总价（元）</w:t>
            </w:r>
          </w:p>
        </w:tc>
        <w:tc>
          <w:tcPr>
            <w:tcW w:w="1501" w:type="dxa"/>
            <w:vAlign w:val="center"/>
          </w:tcPr>
          <w:p>
            <w:pPr>
              <w:overflowPunct w:val="0"/>
              <w:jc w:val="center"/>
              <w:rPr>
                <w:rFonts w:ascii="仿宋" w:hAnsi="仿宋" w:eastAsia="仿宋"/>
                <w:b/>
                <w:sz w:val="24"/>
                <w:szCs w:val="28"/>
              </w:rPr>
            </w:pPr>
            <w:r>
              <w:rPr>
                <w:rFonts w:hint="eastAsia" w:ascii="仿宋" w:hAnsi="仿宋" w:eastAsia="仿宋"/>
                <w:b/>
                <w:sz w:val="24"/>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sz w:val="28"/>
                <w:szCs w:val="28"/>
              </w:rPr>
            </w:pPr>
          </w:p>
        </w:tc>
        <w:tc>
          <w:tcPr>
            <w:tcW w:w="2184" w:type="dxa"/>
            <w:vAlign w:val="center"/>
          </w:tcPr>
          <w:p>
            <w:pPr>
              <w:overflowPunct w:val="0"/>
              <w:jc w:val="center"/>
              <w:rPr>
                <w:rFonts w:ascii="仿宋" w:hAnsi="仿宋" w:eastAsia="仿宋"/>
                <w:sz w:val="28"/>
                <w:szCs w:val="28"/>
              </w:rPr>
            </w:pPr>
            <w:r>
              <w:rPr>
                <w:rFonts w:hint="eastAsia" w:ascii="仿宋" w:hAnsi="仿宋" w:eastAsia="仿宋"/>
                <w:sz w:val="28"/>
                <w:szCs w:val="28"/>
              </w:rPr>
              <w:t>例：人员薪酬</w:t>
            </w:r>
          </w:p>
        </w:tc>
        <w:tc>
          <w:tcPr>
            <w:tcW w:w="1650" w:type="dxa"/>
          </w:tcPr>
          <w:p>
            <w:pPr>
              <w:overflowPunct w:val="0"/>
              <w:jc w:val="center"/>
              <w:rPr>
                <w:rFonts w:ascii="仿宋" w:hAnsi="仿宋" w:eastAsia="仿宋"/>
                <w:sz w:val="28"/>
                <w:szCs w:val="28"/>
              </w:rPr>
            </w:pPr>
          </w:p>
        </w:tc>
        <w:tc>
          <w:tcPr>
            <w:tcW w:w="1005" w:type="dxa"/>
            <w:vAlign w:val="center"/>
          </w:tcPr>
          <w:p>
            <w:pPr>
              <w:overflowPunct w:val="0"/>
              <w:jc w:val="center"/>
              <w:rPr>
                <w:rFonts w:ascii="仿宋" w:hAnsi="仿宋" w:eastAsia="仿宋"/>
                <w:sz w:val="28"/>
                <w:szCs w:val="28"/>
              </w:rPr>
            </w:pPr>
          </w:p>
        </w:tc>
        <w:tc>
          <w:tcPr>
            <w:tcW w:w="1410" w:type="dxa"/>
            <w:vAlign w:val="center"/>
          </w:tcPr>
          <w:p>
            <w:pPr>
              <w:overflowPunct w:val="0"/>
              <w:jc w:val="center"/>
              <w:rPr>
                <w:rFonts w:ascii="仿宋" w:hAnsi="仿宋" w:eastAsia="仿宋"/>
                <w:sz w:val="28"/>
                <w:szCs w:val="28"/>
              </w:rPr>
            </w:pPr>
          </w:p>
        </w:tc>
        <w:tc>
          <w:tcPr>
            <w:tcW w:w="1501"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sz w:val="28"/>
                <w:szCs w:val="28"/>
              </w:rPr>
            </w:pPr>
          </w:p>
        </w:tc>
        <w:tc>
          <w:tcPr>
            <w:tcW w:w="2184" w:type="dxa"/>
            <w:vAlign w:val="center"/>
          </w:tcPr>
          <w:p>
            <w:pPr>
              <w:overflowPunct w:val="0"/>
              <w:jc w:val="center"/>
              <w:rPr>
                <w:rFonts w:ascii="仿宋" w:hAnsi="仿宋" w:eastAsia="仿宋"/>
                <w:sz w:val="28"/>
                <w:szCs w:val="28"/>
              </w:rPr>
            </w:pPr>
            <w:r>
              <w:rPr>
                <w:rFonts w:hint="eastAsia" w:ascii="仿宋" w:hAnsi="仿宋" w:eastAsia="仿宋"/>
                <w:sz w:val="28"/>
                <w:szCs w:val="28"/>
              </w:rPr>
              <w:t>工装费</w:t>
            </w:r>
          </w:p>
        </w:tc>
        <w:tc>
          <w:tcPr>
            <w:tcW w:w="1650" w:type="dxa"/>
          </w:tcPr>
          <w:p>
            <w:pPr>
              <w:overflowPunct w:val="0"/>
              <w:jc w:val="center"/>
              <w:rPr>
                <w:rFonts w:ascii="仿宋" w:hAnsi="仿宋" w:eastAsia="仿宋"/>
                <w:sz w:val="28"/>
                <w:szCs w:val="28"/>
              </w:rPr>
            </w:pPr>
          </w:p>
        </w:tc>
        <w:tc>
          <w:tcPr>
            <w:tcW w:w="1005" w:type="dxa"/>
            <w:vAlign w:val="center"/>
          </w:tcPr>
          <w:p>
            <w:pPr>
              <w:overflowPunct w:val="0"/>
              <w:jc w:val="center"/>
              <w:rPr>
                <w:rFonts w:ascii="仿宋" w:hAnsi="仿宋" w:eastAsia="仿宋"/>
                <w:sz w:val="28"/>
                <w:szCs w:val="28"/>
              </w:rPr>
            </w:pPr>
          </w:p>
        </w:tc>
        <w:tc>
          <w:tcPr>
            <w:tcW w:w="1410" w:type="dxa"/>
            <w:vAlign w:val="center"/>
          </w:tcPr>
          <w:p>
            <w:pPr>
              <w:overflowPunct w:val="0"/>
              <w:jc w:val="center"/>
              <w:rPr>
                <w:rFonts w:ascii="仿宋" w:hAnsi="仿宋" w:eastAsia="仿宋"/>
                <w:sz w:val="28"/>
                <w:szCs w:val="28"/>
              </w:rPr>
            </w:pPr>
          </w:p>
        </w:tc>
        <w:tc>
          <w:tcPr>
            <w:tcW w:w="1501"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sz w:val="28"/>
                <w:szCs w:val="28"/>
              </w:rPr>
            </w:pPr>
          </w:p>
        </w:tc>
        <w:tc>
          <w:tcPr>
            <w:tcW w:w="2184" w:type="dxa"/>
            <w:vAlign w:val="center"/>
          </w:tcPr>
          <w:p>
            <w:pPr>
              <w:overflowPunct w:val="0"/>
              <w:jc w:val="center"/>
              <w:rPr>
                <w:rFonts w:ascii="仿宋" w:hAnsi="仿宋" w:eastAsia="仿宋"/>
                <w:sz w:val="28"/>
                <w:szCs w:val="28"/>
              </w:rPr>
            </w:pPr>
            <w:r>
              <w:rPr>
                <w:rFonts w:hint="eastAsia" w:ascii="仿宋" w:hAnsi="仿宋" w:eastAsia="仿宋"/>
                <w:sz w:val="28"/>
                <w:szCs w:val="28"/>
              </w:rPr>
              <w:t>各类保险</w:t>
            </w:r>
          </w:p>
        </w:tc>
        <w:tc>
          <w:tcPr>
            <w:tcW w:w="1650" w:type="dxa"/>
          </w:tcPr>
          <w:p>
            <w:pPr>
              <w:overflowPunct w:val="0"/>
              <w:jc w:val="center"/>
              <w:rPr>
                <w:rFonts w:ascii="仿宋" w:hAnsi="仿宋" w:eastAsia="仿宋"/>
                <w:sz w:val="28"/>
                <w:szCs w:val="28"/>
              </w:rPr>
            </w:pPr>
          </w:p>
        </w:tc>
        <w:tc>
          <w:tcPr>
            <w:tcW w:w="1005" w:type="dxa"/>
            <w:vAlign w:val="center"/>
          </w:tcPr>
          <w:p>
            <w:pPr>
              <w:overflowPunct w:val="0"/>
              <w:jc w:val="center"/>
              <w:rPr>
                <w:rFonts w:ascii="仿宋" w:hAnsi="仿宋" w:eastAsia="仿宋"/>
                <w:sz w:val="28"/>
                <w:szCs w:val="28"/>
              </w:rPr>
            </w:pPr>
          </w:p>
        </w:tc>
        <w:tc>
          <w:tcPr>
            <w:tcW w:w="1410" w:type="dxa"/>
            <w:vAlign w:val="center"/>
          </w:tcPr>
          <w:p>
            <w:pPr>
              <w:overflowPunct w:val="0"/>
              <w:jc w:val="center"/>
              <w:rPr>
                <w:rFonts w:ascii="仿宋" w:hAnsi="仿宋" w:eastAsia="仿宋"/>
                <w:sz w:val="28"/>
                <w:szCs w:val="28"/>
              </w:rPr>
            </w:pPr>
          </w:p>
        </w:tc>
        <w:tc>
          <w:tcPr>
            <w:tcW w:w="1501"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sz w:val="28"/>
                <w:szCs w:val="28"/>
              </w:rPr>
            </w:pPr>
          </w:p>
        </w:tc>
        <w:tc>
          <w:tcPr>
            <w:tcW w:w="2184" w:type="dxa"/>
            <w:vAlign w:val="center"/>
          </w:tcPr>
          <w:p>
            <w:pPr>
              <w:overflowPunct w:val="0"/>
              <w:jc w:val="center"/>
              <w:rPr>
                <w:rFonts w:ascii="仿宋" w:hAnsi="仿宋" w:eastAsia="仿宋"/>
                <w:sz w:val="28"/>
                <w:szCs w:val="28"/>
              </w:rPr>
            </w:pPr>
            <w:r>
              <w:rPr>
                <w:rFonts w:hint="eastAsia" w:ascii="仿宋" w:hAnsi="仿宋" w:eastAsia="仿宋"/>
                <w:sz w:val="28"/>
                <w:szCs w:val="28"/>
              </w:rPr>
              <w:t>税费等</w:t>
            </w:r>
          </w:p>
        </w:tc>
        <w:tc>
          <w:tcPr>
            <w:tcW w:w="1650" w:type="dxa"/>
          </w:tcPr>
          <w:p>
            <w:pPr>
              <w:overflowPunct w:val="0"/>
              <w:jc w:val="center"/>
              <w:rPr>
                <w:rFonts w:ascii="仿宋" w:hAnsi="仿宋" w:eastAsia="仿宋"/>
                <w:sz w:val="28"/>
                <w:szCs w:val="28"/>
              </w:rPr>
            </w:pPr>
          </w:p>
        </w:tc>
        <w:tc>
          <w:tcPr>
            <w:tcW w:w="1005" w:type="dxa"/>
            <w:vAlign w:val="center"/>
          </w:tcPr>
          <w:p>
            <w:pPr>
              <w:overflowPunct w:val="0"/>
              <w:jc w:val="center"/>
              <w:rPr>
                <w:rFonts w:ascii="仿宋" w:hAnsi="仿宋" w:eastAsia="仿宋"/>
                <w:sz w:val="28"/>
                <w:szCs w:val="28"/>
              </w:rPr>
            </w:pPr>
          </w:p>
        </w:tc>
        <w:tc>
          <w:tcPr>
            <w:tcW w:w="1410" w:type="dxa"/>
            <w:vAlign w:val="center"/>
          </w:tcPr>
          <w:p>
            <w:pPr>
              <w:overflowPunct w:val="0"/>
              <w:jc w:val="center"/>
              <w:rPr>
                <w:rFonts w:ascii="仿宋" w:hAnsi="仿宋" w:eastAsia="仿宋"/>
                <w:sz w:val="28"/>
                <w:szCs w:val="28"/>
              </w:rPr>
            </w:pPr>
          </w:p>
        </w:tc>
        <w:tc>
          <w:tcPr>
            <w:tcW w:w="1501"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sz w:val="28"/>
                <w:szCs w:val="28"/>
              </w:rPr>
            </w:pPr>
          </w:p>
        </w:tc>
        <w:tc>
          <w:tcPr>
            <w:tcW w:w="2184" w:type="dxa"/>
            <w:vAlign w:val="center"/>
          </w:tcPr>
          <w:p>
            <w:pPr>
              <w:overflowPunct w:val="0"/>
              <w:jc w:val="center"/>
              <w:rPr>
                <w:rFonts w:ascii="仿宋" w:hAnsi="仿宋" w:eastAsia="仿宋"/>
                <w:sz w:val="28"/>
                <w:szCs w:val="28"/>
              </w:rPr>
            </w:pPr>
          </w:p>
        </w:tc>
        <w:tc>
          <w:tcPr>
            <w:tcW w:w="1650" w:type="dxa"/>
          </w:tcPr>
          <w:p>
            <w:pPr>
              <w:overflowPunct w:val="0"/>
              <w:jc w:val="center"/>
              <w:rPr>
                <w:rFonts w:ascii="仿宋" w:hAnsi="仿宋" w:eastAsia="仿宋"/>
                <w:sz w:val="28"/>
                <w:szCs w:val="28"/>
              </w:rPr>
            </w:pPr>
          </w:p>
        </w:tc>
        <w:tc>
          <w:tcPr>
            <w:tcW w:w="1005" w:type="dxa"/>
            <w:vAlign w:val="center"/>
          </w:tcPr>
          <w:p>
            <w:pPr>
              <w:overflowPunct w:val="0"/>
              <w:jc w:val="center"/>
              <w:rPr>
                <w:rFonts w:ascii="仿宋" w:hAnsi="仿宋" w:eastAsia="仿宋"/>
                <w:sz w:val="28"/>
                <w:szCs w:val="28"/>
              </w:rPr>
            </w:pPr>
          </w:p>
        </w:tc>
        <w:tc>
          <w:tcPr>
            <w:tcW w:w="1410" w:type="dxa"/>
            <w:vAlign w:val="center"/>
          </w:tcPr>
          <w:p>
            <w:pPr>
              <w:overflowPunct w:val="0"/>
              <w:jc w:val="center"/>
              <w:rPr>
                <w:rFonts w:ascii="仿宋" w:hAnsi="仿宋" w:eastAsia="仿宋"/>
                <w:sz w:val="28"/>
                <w:szCs w:val="28"/>
              </w:rPr>
            </w:pPr>
          </w:p>
        </w:tc>
        <w:tc>
          <w:tcPr>
            <w:tcW w:w="1501"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sz w:val="28"/>
                <w:szCs w:val="28"/>
              </w:rPr>
            </w:pPr>
          </w:p>
        </w:tc>
        <w:tc>
          <w:tcPr>
            <w:tcW w:w="2184" w:type="dxa"/>
            <w:vAlign w:val="center"/>
          </w:tcPr>
          <w:p>
            <w:pPr>
              <w:overflowPunct w:val="0"/>
              <w:jc w:val="center"/>
              <w:rPr>
                <w:rFonts w:ascii="仿宋" w:hAnsi="仿宋" w:eastAsia="仿宋"/>
                <w:sz w:val="28"/>
                <w:szCs w:val="28"/>
              </w:rPr>
            </w:pPr>
          </w:p>
        </w:tc>
        <w:tc>
          <w:tcPr>
            <w:tcW w:w="1650" w:type="dxa"/>
          </w:tcPr>
          <w:p>
            <w:pPr>
              <w:overflowPunct w:val="0"/>
              <w:jc w:val="center"/>
              <w:rPr>
                <w:rFonts w:ascii="仿宋" w:hAnsi="仿宋" w:eastAsia="仿宋"/>
                <w:sz w:val="28"/>
                <w:szCs w:val="28"/>
              </w:rPr>
            </w:pPr>
          </w:p>
        </w:tc>
        <w:tc>
          <w:tcPr>
            <w:tcW w:w="1005" w:type="dxa"/>
            <w:vAlign w:val="center"/>
          </w:tcPr>
          <w:p>
            <w:pPr>
              <w:overflowPunct w:val="0"/>
              <w:jc w:val="center"/>
              <w:rPr>
                <w:rFonts w:ascii="仿宋" w:hAnsi="仿宋" w:eastAsia="仿宋"/>
                <w:sz w:val="28"/>
                <w:szCs w:val="28"/>
              </w:rPr>
            </w:pPr>
          </w:p>
        </w:tc>
        <w:tc>
          <w:tcPr>
            <w:tcW w:w="1410" w:type="dxa"/>
            <w:vAlign w:val="center"/>
          </w:tcPr>
          <w:p>
            <w:pPr>
              <w:overflowPunct w:val="0"/>
              <w:jc w:val="center"/>
              <w:rPr>
                <w:rFonts w:ascii="仿宋" w:hAnsi="仿宋" w:eastAsia="仿宋"/>
                <w:sz w:val="28"/>
                <w:szCs w:val="28"/>
              </w:rPr>
            </w:pPr>
          </w:p>
        </w:tc>
        <w:tc>
          <w:tcPr>
            <w:tcW w:w="1501"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sz w:val="28"/>
                <w:szCs w:val="28"/>
              </w:rPr>
            </w:pPr>
          </w:p>
        </w:tc>
        <w:tc>
          <w:tcPr>
            <w:tcW w:w="2184" w:type="dxa"/>
            <w:vAlign w:val="center"/>
          </w:tcPr>
          <w:p>
            <w:pPr>
              <w:overflowPunct w:val="0"/>
              <w:jc w:val="center"/>
              <w:rPr>
                <w:rFonts w:ascii="仿宋" w:hAnsi="仿宋" w:eastAsia="仿宋"/>
                <w:sz w:val="28"/>
                <w:szCs w:val="28"/>
              </w:rPr>
            </w:pPr>
          </w:p>
        </w:tc>
        <w:tc>
          <w:tcPr>
            <w:tcW w:w="1650" w:type="dxa"/>
          </w:tcPr>
          <w:p>
            <w:pPr>
              <w:overflowPunct w:val="0"/>
              <w:jc w:val="center"/>
              <w:rPr>
                <w:rFonts w:ascii="仿宋" w:hAnsi="仿宋" w:eastAsia="仿宋"/>
                <w:sz w:val="28"/>
                <w:szCs w:val="28"/>
              </w:rPr>
            </w:pPr>
          </w:p>
        </w:tc>
        <w:tc>
          <w:tcPr>
            <w:tcW w:w="1005" w:type="dxa"/>
            <w:vAlign w:val="center"/>
          </w:tcPr>
          <w:p>
            <w:pPr>
              <w:overflowPunct w:val="0"/>
              <w:jc w:val="center"/>
              <w:rPr>
                <w:rFonts w:ascii="仿宋" w:hAnsi="仿宋" w:eastAsia="仿宋"/>
                <w:sz w:val="28"/>
                <w:szCs w:val="28"/>
              </w:rPr>
            </w:pPr>
          </w:p>
        </w:tc>
        <w:tc>
          <w:tcPr>
            <w:tcW w:w="1410" w:type="dxa"/>
            <w:vAlign w:val="center"/>
          </w:tcPr>
          <w:p>
            <w:pPr>
              <w:overflowPunct w:val="0"/>
              <w:jc w:val="center"/>
              <w:rPr>
                <w:rFonts w:ascii="仿宋" w:hAnsi="仿宋" w:eastAsia="仿宋"/>
                <w:sz w:val="28"/>
                <w:szCs w:val="28"/>
              </w:rPr>
            </w:pPr>
          </w:p>
        </w:tc>
        <w:tc>
          <w:tcPr>
            <w:tcW w:w="1501"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sz w:val="28"/>
                <w:szCs w:val="28"/>
              </w:rPr>
            </w:pPr>
          </w:p>
        </w:tc>
        <w:tc>
          <w:tcPr>
            <w:tcW w:w="2184" w:type="dxa"/>
            <w:vAlign w:val="center"/>
          </w:tcPr>
          <w:p>
            <w:pPr>
              <w:overflowPunct w:val="0"/>
              <w:jc w:val="center"/>
              <w:rPr>
                <w:rFonts w:ascii="仿宋" w:hAnsi="仿宋" w:eastAsia="仿宋"/>
                <w:sz w:val="28"/>
                <w:szCs w:val="28"/>
                <w:highlight w:val="yellow"/>
              </w:rPr>
            </w:pPr>
          </w:p>
        </w:tc>
        <w:tc>
          <w:tcPr>
            <w:tcW w:w="1650" w:type="dxa"/>
          </w:tcPr>
          <w:p>
            <w:pPr>
              <w:overflowPunct w:val="0"/>
              <w:jc w:val="center"/>
              <w:rPr>
                <w:rFonts w:ascii="仿宋" w:hAnsi="仿宋" w:eastAsia="仿宋"/>
                <w:sz w:val="28"/>
                <w:szCs w:val="28"/>
              </w:rPr>
            </w:pPr>
          </w:p>
        </w:tc>
        <w:tc>
          <w:tcPr>
            <w:tcW w:w="1005" w:type="dxa"/>
            <w:vAlign w:val="center"/>
          </w:tcPr>
          <w:p>
            <w:pPr>
              <w:overflowPunct w:val="0"/>
              <w:jc w:val="center"/>
              <w:rPr>
                <w:rFonts w:ascii="仿宋" w:hAnsi="仿宋" w:eastAsia="仿宋"/>
                <w:sz w:val="28"/>
                <w:szCs w:val="28"/>
              </w:rPr>
            </w:pPr>
          </w:p>
        </w:tc>
        <w:tc>
          <w:tcPr>
            <w:tcW w:w="1410" w:type="dxa"/>
            <w:vAlign w:val="center"/>
          </w:tcPr>
          <w:p>
            <w:pPr>
              <w:overflowPunct w:val="0"/>
              <w:jc w:val="center"/>
              <w:rPr>
                <w:rFonts w:ascii="仿宋" w:hAnsi="仿宋" w:eastAsia="仿宋"/>
                <w:sz w:val="28"/>
                <w:szCs w:val="28"/>
              </w:rPr>
            </w:pPr>
          </w:p>
        </w:tc>
        <w:tc>
          <w:tcPr>
            <w:tcW w:w="1501"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sz w:val="28"/>
                <w:szCs w:val="28"/>
              </w:rPr>
            </w:pPr>
          </w:p>
        </w:tc>
        <w:tc>
          <w:tcPr>
            <w:tcW w:w="2184" w:type="dxa"/>
            <w:vAlign w:val="center"/>
          </w:tcPr>
          <w:p>
            <w:pPr>
              <w:overflowPunct w:val="0"/>
              <w:jc w:val="center"/>
              <w:rPr>
                <w:rFonts w:ascii="仿宋" w:hAnsi="仿宋" w:eastAsia="仿宋"/>
                <w:sz w:val="28"/>
                <w:szCs w:val="28"/>
              </w:rPr>
            </w:pPr>
          </w:p>
        </w:tc>
        <w:tc>
          <w:tcPr>
            <w:tcW w:w="1650" w:type="dxa"/>
          </w:tcPr>
          <w:p>
            <w:pPr>
              <w:overflowPunct w:val="0"/>
              <w:jc w:val="center"/>
              <w:rPr>
                <w:rFonts w:ascii="仿宋" w:hAnsi="仿宋" w:eastAsia="仿宋"/>
                <w:sz w:val="28"/>
                <w:szCs w:val="28"/>
              </w:rPr>
            </w:pPr>
          </w:p>
        </w:tc>
        <w:tc>
          <w:tcPr>
            <w:tcW w:w="1005" w:type="dxa"/>
            <w:vAlign w:val="center"/>
          </w:tcPr>
          <w:p>
            <w:pPr>
              <w:overflowPunct w:val="0"/>
              <w:jc w:val="center"/>
              <w:rPr>
                <w:rFonts w:ascii="仿宋" w:hAnsi="仿宋" w:eastAsia="仿宋"/>
                <w:sz w:val="28"/>
                <w:szCs w:val="28"/>
              </w:rPr>
            </w:pPr>
          </w:p>
        </w:tc>
        <w:tc>
          <w:tcPr>
            <w:tcW w:w="1410" w:type="dxa"/>
            <w:vAlign w:val="center"/>
          </w:tcPr>
          <w:p>
            <w:pPr>
              <w:overflowPunct w:val="0"/>
              <w:jc w:val="center"/>
              <w:rPr>
                <w:rFonts w:ascii="仿宋" w:hAnsi="仿宋" w:eastAsia="仿宋"/>
                <w:sz w:val="28"/>
                <w:szCs w:val="28"/>
              </w:rPr>
            </w:pPr>
          </w:p>
        </w:tc>
        <w:tc>
          <w:tcPr>
            <w:tcW w:w="1501"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sz w:val="28"/>
                <w:szCs w:val="28"/>
              </w:rPr>
            </w:pPr>
          </w:p>
        </w:tc>
        <w:tc>
          <w:tcPr>
            <w:tcW w:w="2184" w:type="dxa"/>
            <w:vAlign w:val="center"/>
          </w:tcPr>
          <w:p>
            <w:pPr>
              <w:overflowPunct w:val="0"/>
              <w:jc w:val="center"/>
              <w:rPr>
                <w:rFonts w:ascii="仿宋" w:hAnsi="仿宋" w:eastAsia="仿宋"/>
                <w:sz w:val="28"/>
                <w:szCs w:val="28"/>
              </w:rPr>
            </w:pPr>
          </w:p>
        </w:tc>
        <w:tc>
          <w:tcPr>
            <w:tcW w:w="1650" w:type="dxa"/>
          </w:tcPr>
          <w:p>
            <w:pPr>
              <w:overflowPunct w:val="0"/>
              <w:jc w:val="center"/>
              <w:rPr>
                <w:rFonts w:ascii="仿宋" w:hAnsi="仿宋" w:eastAsia="仿宋"/>
                <w:sz w:val="28"/>
                <w:szCs w:val="28"/>
              </w:rPr>
            </w:pPr>
          </w:p>
        </w:tc>
        <w:tc>
          <w:tcPr>
            <w:tcW w:w="1005" w:type="dxa"/>
            <w:vAlign w:val="center"/>
          </w:tcPr>
          <w:p>
            <w:pPr>
              <w:overflowPunct w:val="0"/>
              <w:jc w:val="center"/>
              <w:rPr>
                <w:rFonts w:ascii="仿宋" w:hAnsi="仿宋" w:eastAsia="仿宋"/>
                <w:sz w:val="28"/>
                <w:szCs w:val="28"/>
              </w:rPr>
            </w:pPr>
          </w:p>
        </w:tc>
        <w:tc>
          <w:tcPr>
            <w:tcW w:w="1410" w:type="dxa"/>
            <w:vAlign w:val="center"/>
          </w:tcPr>
          <w:p>
            <w:pPr>
              <w:overflowPunct w:val="0"/>
              <w:jc w:val="center"/>
              <w:rPr>
                <w:rFonts w:ascii="仿宋" w:hAnsi="仿宋" w:eastAsia="仿宋"/>
                <w:sz w:val="28"/>
                <w:szCs w:val="28"/>
              </w:rPr>
            </w:pPr>
          </w:p>
        </w:tc>
        <w:tc>
          <w:tcPr>
            <w:tcW w:w="1501" w:type="dxa"/>
          </w:tcPr>
          <w:p>
            <w:pPr>
              <w:overflowPunct w:val="0"/>
              <w:jc w:val="center"/>
              <w:rPr>
                <w:rFonts w:ascii="仿宋" w:hAnsi="仿宋" w:eastAsia="仿宋"/>
                <w:sz w:val="28"/>
                <w:szCs w:val="28"/>
              </w:rPr>
            </w:pPr>
          </w:p>
        </w:tc>
      </w:tr>
    </w:tbl>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pStyle w:val="3"/>
        <w:overflowPunct w:val="0"/>
        <w:spacing w:line="415" w:lineRule="auto"/>
        <w:rPr>
          <w:rFonts w:ascii="仿宋" w:hAnsi="仿宋" w:eastAsia="仿宋"/>
        </w:rPr>
      </w:pPr>
      <w:bookmarkStart w:id="51" w:name="_Toc482106471"/>
      <w:bookmarkStart w:id="52" w:name="_Toc511901343"/>
      <w:bookmarkStart w:id="53" w:name="_Toc508179922"/>
      <w:bookmarkStart w:id="54" w:name="_Toc14614"/>
      <w:bookmarkStart w:id="55" w:name="_Toc4232"/>
      <w:bookmarkStart w:id="56" w:name="_Toc515961881"/>
      <w:bookmarkStart w:id="57" w:name="_Toc359315317"/>
      <w:r>
        <w:rPr>
          <w:rFonts w:hint="eastAsia" w:ascii="仿宋" w:hAnsi="仿宋" w:eastAsia="仿宋"/>
        </w:rPr>
        <w:t>格式六：</w:t>
      </w:r>
      <w:bookmarkEnd w:id="51"/>
      <w:bookmarkEnd w:id="52"/>
      <w:bookmarkEnd w:id="53"/>
      <w:bookmarkEnd w:id="54"/>
      <w:bookmarkEnd w:id="55"/>
      <w:bookmarkEnd w:id="56"/>
      <w:bookmarkEnd w:id="57"/>
    </w:p>
    <w:p>
      <w:pPr>
        <w:overflowPunct w:val="0"/>
        <w:ind w:firstLine="560" w:firstLineChars="200"/>
        <w:jc w:val="center"/>
        <w:rPr>
          <w:rFonts w:ascii="仿宋" w:hAnsi="仿宋" w:eastAsia="仿宋"/>
          <w:color w:val="000000"/>
          <w:sz w:val="28"/>
          <w:szCs w:val="28"/>
        </w:rPr>
      </w:pPr>
      <w:r>
        <w:rPr>
          <w:rFonts w:hint="eastAsia" w:ascii="仿宋" w:hAnsi="仿宋" w:eastAsia="仿宋"/>
          <w:color w:val="000000"/>
          <w:sz w:val="28"/>
          <w:szCs w:val="28"/>
        </w:rPr>
        <w:t>项目服务方案、服务承诺和质量保证</w:t>
      </w:r>
    </w:p>
    <w:p>
      <w:pPr>
        <w:overflowPunct w:val="0"/>
        <w:autoSpaceDE w:val="0"/>
        <w:autoSpaceDN w:val="0"/>
        <w:spacing w:line="46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供应商可根据采购文件要求自行编写，服务方案、服务承诺、质量保证尽可能详细、全面，否则有可能影响供应商的得分。</w:t>
      </w:r>
    </w:p>
    <w:p>
      <w:pPr>
        <w:pStyle w:val="3"/>
        <w:overflowPunct w:val="0"/>
        <w:spacing w:line="415" w:lineRule="auto"/>
        <w:rPr>
          <w:rFonts w:ascii="仿宋" w:hAnsi="仿宋" w:eastAsia="仿宋"/>
        </w:rPr>
      </w:pPr>
      <w:bookmarkStart w:id="58" w:name="_Toc482106473"/>
      <w:bookmarkStart w:id="59" w:name="_Toc508179924"/>
      <w:bookmarkStart w:id="60" w:name="_Toc511901345"/>
      <w:bookmarkStart w:id="61" w:name="_Toc515961883"/>
      <w:bookmarkStart w:id="62" w:name="_Toc9822"/>
      <w:bookmarkStart w:id="63" w:name="_Toc25307"/>
      <w:r>
        <w:rPr>
          <w:rFonts w:hint="eastAsia" w:ascii="仿宋" w:hAnsi="仿宋" w:eastAsia="仿宋"/>
        </w:rPr>
        <w:t>格式七：</w:t>
      </w:r>
      <w:bookmarkEnd w:id="58"/>
      <w:bookmarkEnd w:id="59"/>
      <w:bookmarkEnd w:id="60"/>
      <w:bookmarkEnd w:id="61"/>
      <w:bookmarkEnd w:id="62"/>
      <w:bookmarkEnd w:id="63"/>
      <w:r>
        <w:rPr>
          <w:rFonts w:ascii="仿宋" w:hAnsi="仿宋" w:eastAsia="仿宋"/>
        </w:rPr>
        <w:t xml:space="preserve"> </w:t>
      </w:r>
    </w:p>
    <w:p>
      <w:pPr>
        <w:overflowPunct w:val="0"/>
        <w:ind w:firstLine="560" w:firstLineChars="200"/>
        <w:jc w:val="left"/>
        <w:rPr>
          <w:rFonts w:ascii="仿宋" w:hAnsi="仿宋" w:eastAsia="仿宋"/>
          <w:b/>
          <w:color w:val="000000"/>
          <w:sz w:val="36"/>
          <w:szCs w:val="36"/>
        </w:rPr>
      </w:pPr>
      <w:r>
        <w:rPr>
          <w:rFonts w:hint="eastAsia" w:ascii="仿宋" w:hAnsi="仿宋" w:eastAsia="仿宋"/>
          <w:color w:val="000000"/>
          <w:sz w:val="28"/>
          <w:szCs w:val="28"/>
        </w:rPr>
        <w:t>其他相关证明材料</w:t>
      </w:r>
    </w:p>
    <w:p>
      <w:pPr>
        <w:pStyle w:val="2"/>
        <w:spacing w:line="360" w:lineRule="auto"/>
      </w:pPr>
    </w:p>
    <w:sectPr>
      <w:headerReference r:id="rId3" w:type="default"/>
      <w:footerReference r:id="rId4" w:type="default"/>
      <w:pgSz w:w="11906" w:h="16838"/>
      <w:pgMar w:top="1134" w:right="1077" w:bottom="1134" w:left="1077"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Verdana">
    <w:panose1 w:val="020B0604030504040204"/>
    <w:charset w:val="00"/>
    <w:family w:val="swiss"/>
    <w:pitch w:val="default"/>
    <w:sig w:usb0="A10006FF" w:usb1="4000205B" w:usb2="00000010"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r>
      <w:fldChar w:fldCharType="begin"/>
    </w:r>
    <w:r>
      <w:instrText xml:space="preserve">PAGE   \* MERGEFORMAT</w:instrText>
    </w:r>
    <w:r>
      <w:fldChar w:fldCharType="separate"/>
    </w:r>
    <w:r>
      <w:rPr>
        <w:lang w:val="zh-CN"/>
      </w:rPr>
      <w:t>2</w:t>
    </w:r>
    <w:r>
      <w:rPr>
        <w:lang w:val="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Fonts w:cs="宋体"/>
        <w:sz w:val="21"/>
        <w:szCs w:val="21"/>
      </w:rPr>
    </w:pPr>
    <w:r>
      <w:rPr>
        <w:rFonts w:hint="eastAsia" w:cs="宋体"/>
        <w:sz w:val="21"/>
        <w:szCs w:val="21"/>
      </w:rPr>
      <w:t>鄂尔多斯市空港实业有限公司采购文件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5AD032E"/>
    <w:multiLevelType w:val="singleLevel"/>
    <w:tmpl w:val="55AD032E"/>
    <w:lvl w:ilvl="0" w:tentative="0">
      <w:start w:val="3"/>
      <w:numFmt w:val="decimal"/>
      <w:suff w:val="nothing"/>
      <w:lvlText w:val="%1、"/>
      <w:lvlJc w:val="left"/>
      <w:rPr>
        <w:rFonts w:cs="Times New Roman"/>
      </w:rPr>
    </w:lvl>
  </w:abstractNum>
  <w:abstractNum w:abstractNumId="1">
    <w:nsid w:val="75571BA3"/>
    <w:multiLevelType w:val="singleLevel"/>
    <w:tmpl w:val="75571BA3"/>
    <w:lvl w:ilvl="0" w:tentative="0">
      <w:start w:val="3"/>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doNotUseMarginsForDrawingGridOrigin w:val="1"/>
  <w:drawingGridHorizontalOrigin w:val="1077"/>
  <w:drawingGridVerticalOrigin w:val="1134"/>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92DDD"/>
    <w:rsid w:val="00003CD1"/>
    <w:rsid w:val="000438F7"/>
    <w:rsid w:val="00044E2E"/>
    <w:rsid w:val="000462F0"/>
    <w:rsid w:val="00063B0F"/>
    <w:rsid w:val="000733A6"/>
    <w:rsid w:val="000A3A54"/>
    <w:rsid w:val="000A76B5"/>
    <w:rsid w:val="000B0441"/>
    <w:rsid w:val="000B452B"/>
    <w:rsid w:val="000D3C33"/>
    <w:rsid w:val="00104CBC"/>
    <w:rsid w:val="00107110"/>
    <w:rsid w:val="00113BAC"/>
    <w:rsid w:val="00135F55"/>
    <w:rsid w:val="00172C2B"/>
    <w:rsid w:val="00180DDF"/>
    <w:rsid w:val="001909E9"/>
    <w:rsid w:val="001B14AB"/>
    <w:rsid w:val="001C3FFE"/>
    <w:rsid w:val="001F472D"/>
    <w:rsid w:val="0021501E"/>
    <w:rsid w:val="00236744"/>
    <w:rsid w:val="00254801"/>
    <w:rsid w:val="00257707"/>
    <w:rsid w:val="00262E74"/>
    <w:rsid w:val="002676F9"/>
    <w:rsid w:val="00273511"/>
    <w:rsid w:val="002A33B0"/>
    <w:rsid w:val="002A3760"/>
    <w:rsid w:val="002A5D64"/>
    <w:rsid w:val="002A7BBF"/>
    <w:rsid w:val="002B347F"/>
    <w:rsid w:val="00304A7A"/>
    <w:rsid w:val="00316234"/>
    <w:rsid w:val="0032183A"/>
    <w:rsid w:val="003222FF"/>
    <w:rsid w:val="003342F0"/>
    <w:rsid w:val="0034197D"/>
    <w:rsid w:val="00377D6D"/>
    <w:rsid w:val="00392684"/>
    <w:rsid w:val="003A1620"/>
    <w:rsid w:val="003A7117"/>
    <w:rsid w:val="003C3565"/>
    <w:rsid w:val="003C5185"/>
    <w:rsid w:val="003D7647"/>
    <w:rsid w:val="003E129A"/>
    <w:rsid w:val="003E40FE"/>
    <w:rsid w:val="004066FE"/>
    <w:rsid w:val="00417D07"/>
    <w:rsid w:val="004269A9"/>
    <w:rsid w:val="00441CF6"/>
    <w:rsid w:val="00443ADB"/>
    <w:rsid w:val="00465278"/>
    <w:rsid w:val="004855B0"/>
    <w:rsid w:val="00486085"/>
    <w:rsid w:val="004A1FE8"/>
    <w:rsid w:val="004A6A0B"/>
    <w:rsid w:val="004A6B29"/>
    <w:rsid w:val="004B075F"/>
    <w:rsid w:val="004C6926"/>
    <w:rsid w:val="004E6335"/>
    <w:rsid w:val="004F220C"/>
    <w:rsid w:val="00501010"/>
    <w:rsid w:val="00505014"/>
    <w:rsid w:val="005121F0"/>
    <w:rsid w:val="0052054D"/>
    <w:rsid w:val="00520B66"/>
    <w:rsid w:val="00527EB7"/>
    <w:rsid w:val="00531DBB"/>
    <w:rsid w:val="005367FB"/>
    <w:rsid w:val="005479D8"/>
    <w:rsid w:val="00556BBF"/>
    <w:rsid w:val="00562D0D"/>
    <w:rsid w:val="00581B07"/>
    <w:rsid w:val="00591A82"/>
    <w:rsid w:val="00592062"/>
    <w:rsid w:val="00593F6D"/>
    <w:rsid w:val="00597E9E"/>
    <w:rsid w:val="005A256F"/>
    <w:rsid w:val="005B660B"/>
    <w:rsid w:val="005D1441"/>
    <w:rsid w:val="005D3104"/>
    <w:rsid w:val="005D3703"/>
    <w:rsid w:val="005D4EB2"/>
    <w:rsid w:val="005E2E4F"/>
    <w:rsid w:val="005E4FB4"/>
    <w:rsid w:val="00611635"/>
    <w:rsid w:val="00611861"/>
    <w:rsid w:val="00611DF0"/>
    <w:rsid w:val="00613E47"/>
    <w:rsid w:val="00616C30"/>
    <w:rsid w:val="006311F3"/>
    <w:rsid w:val="00631E39"/>
    <w:rsid w:val="00635207"/>
    <w:rsid w:val="00662F23"/>
    <w:rsid w:val="00670C15"/>
    <w:rsid w:val="00673A0D"/>
    <w:rsid w:val="0069177F"/>
    <w:rsid w:val="006A0723"/>
    <w:rsid w:val="006A5181"/>
    <w:rsid w:val="006B3F87"/>
    <w:rsid w:val="006E0071"/>
    <w:rsid w:val="006E70C4"/>
    <w:rsid w:val="007124D2"/>
    <w:rsid w:val="00712D7B"/>
    <w:rsid w:val="00750763"/>
    <w:rsid w:val="007614D6"/>
    <w:rsid w:val="007641FF"/>
    <w:rsid w:val="00774276"/>
    <w:rsid w:val="0079222C"/>
    <w:rsid w:val="007956C1"/>
    <w:rsid w:val="007D260C"/>
    <w:rsid w:val="007D7230"/>
    <w:rsid w:val="007F188F"/>
    <w:rsid w:val="008044EC"/>
    <w:rsid w:val="00805E4F"/>
    <w:rsid w:val="008223D4"/>
    <w:rsid w:val="008259CB"/>
    <w:rsid w:val="008322DE"/>
    <w:rsid w:val="00844319"/>
    <w:rsid w:val="008546BD"/>
    <w:rsid w:val="00877614"/>
    <w:rsid w:val="008B0CC7"/>
    <w:rsid w:val="008B4F25"/>
    <w:rsid w:val="008C0FBF"/>
    <w:rsid w:val="008C1A89"/>
    <w:rsid w:val="008C560D"/>
    <w:rsid w:val="00904755"/>
    <w:rsid w:val="00907683"/>
    <w:rsid w:val="009531EC"/>
    <w:rsid w:val="009B3D09"/>
    <w:rsid w:val="009D5745"/>
    <w:rsid w:val="009D62CC"/>
    <w:rsid w:val="009F21A5"/>
    <w:rsid w:val="009F57EF"/>
    <w:rsid w:val="009F6F14"/>
    <w:rsid w:val="00A16B85"/>
    <w:rsid w:val="00A22F05"/>
    <w:rsid w:val="00A30E96"/>
    <w:rsid w:val="00A33034"/>
    <w:rsid w:val="00A56F61"/>
    <w:rsid w:val="00A621DC"/>
    <w:rsid w:val="00A70A3A"/>
    <w:rsid w:val="00A71AD1"/>
    <w:rsid w:val="00A84168"/>
    <w:rsid w:val="00A93CB7"/>
    <w:rsid w:val="00A96193"/>
    <w:rsid w:val="00AB14E7"/>
    <w:rsid w:val="00AB244C"/>
    <w:rsid w:val="00AB257D"/>
    <w:rsid w:val="00AC6955"/>
    <w:rsid w:val="00B05A5A"/>
    <w:rsid w:val="00B21C42"/>
    <w:rsid w:val="00B222FB"/>
    <w:rsid w:val="00B30537"/>
    <w:rsid w:val="00B326AA"/>
    <w:rsid w:val="00B543E4"/>
    <w:rsid w:val="00B73CDB"/>
    <w:rsid w:val="00B74A6F"/>
    <w:rsid w:val="00BA1F23"/>
    <w:rsid w:val="00BA5257"/>
    <w:rsid w:val="00BA6275"/>
    <w:rsid w:val="00BC607B"/>
    <w:rsid w:val="00BD3D9B"/>
    <w:rsid w:val="00BE2C07"/>
    <w:rsid w:val="00BE7A5B"/>
    <w:rsid w:val="00BF4F1C"/>
    <w:rsid w:val="00C03E81"/>
    <w:rsid w:val="00C67EED"/>
    <w:rsid w:val="00C71D37"/>
    <w:rsid w:val="00C86D58"/>
    <w:rsid w:val="00CA2922"/>
    <w:rsid w:val="00CA40A8"/>
    <w:rsid w:val="00CB4B9B"/>
    <w:rsid w:val="00CC0703"/>
    <w:rsid w:val="00CC3307"/>
    <w:rsid w:val="00CD6610"/>
    <w:rsid w:val="00D039BC"/>
    <w:rsid w:val="00D16765"/>
    <w:rsid w:val="00D2043D"/>
    <w:rsid w:val="00D44920"/>
    <w:rsid w:val="00D668D8"/>
    <w:rsid w:val="00D919B8"/>
    <w:rsid w:val="00D92DDD"/>
    <w:rsid w:val="00D942FD"/>
    <w:rsid w:val="00D94A21"/>
    <w:rsid w:val="00DB2589"/>
    <w:rsid w:val="00DB4371"/>
    <w:rsid w:val="00DC6D0A"/>
    <w:rsid w:val="00DD7FB2"/>
    <w:rsid w:val="00E055C1"/>
    <w:rsid w:val="00E117D2"/>
    <w:rsid w:val="00E224E3"/>
    <w:rsid w:val="00E227F9"/>
    <w:rsid w:val="00E2589B"/>
    <w:rsid w:val="00E263DD"/>
    <w:rsid w:val="00E536A9"/>
    <w:rsid w:val="00E563ED"/>
    <w:rsid w:val="00E602A0"/>
    <w:rsid w:val="00E771CC"/>
    <w:rsid w:val="00E804A7"/>
    <w:rsid w:val="00EA4983"/>
    <w:rsid w:val="00EE35D8"/>
    <w:rsid w:val="00EE476E"/>
    <w:rsid w:val="00EF69C8"/>
    <w:rsid w:val="00F12206"/>
    <w:rsid w:val="00F138DB"/>
    <w:rsid w:val="00F2495A"/>
    <w:rsid w:val="00F32A71"/>
    <w:rsid w:val="00F60963"/>
    <w:rsid w:val="00F61170"/>
    <w:rsid w:val="00F70C82"/>
    <w:rsid w:val="00FA603A"/>
    <w:rsid w:val="00FA7DEB"/>
    <w:rsid w:val="00FB6EFC"/>
    <w:rsid w:val="00FC5A46"/>
    <w:rsid w:val="00FE03CA"/>
    <w:rsid w:val="01195E5B"/>
    <w:rsid w:val="09D438BC"/>
    <w:rsid w:val="13E5155D"/>
    <w:rsid w:val="1AD94B83"/>
    <w:rsid w:val="1B6E6F30"/>
    <w:rsid w:val="1BA33EB6"/>
    <w:rsid w:val="25EA2DE8"/>
    <w:rsid w:val="391868EE"/>
    <w:rsid w:val="3C9D1127"/>
    <w:rsid w:val="3ECB74BD"/>
    <w:rsid w:val="4593380E"/>
    <w:rsid w:val="56363A86"/>
    <w:rsid w:val="57356108"/>
    <w:rsid w:val="5BDA4C8D"/>
    <w:rsid w:val="5DDF4560"/>
    <w:rsid w:val="6A613F62"/>
    <w:rsid w:val="776369A0"/>
    <w:rsid w:val="79A07B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19"/>
    <w:qFormat/>
    <w:uiPriority w:val="99"/>
    <w:pPr>
      <w:keepNext/>
      <w:keepLines/>
      <w:spacing w:line="578" w:lineRule="auto"/>
      <w:jc w:val="center"/>
      <w:outlineLvl w:val="0"/>
    </w:pPr>
    <w:rPr>
      <w:rFonts w:ascii="Times New Roman" w:hAnsi="Times New Roman" w:eastAsia="仿宋_GB2312" w:cs="Times New Roman"/>
      <w:b/>
      <w:bCs/>
      <w:kern w:val="44"/>
      <w:sz w:val="44"/>
      <w:szCs w:val="44"/>
    </w:rPr>
  </w:style>
  <w:style w:type="paragraph" w:styleId="3">
    <w:name w:val="heading 2"/>
    <w:basedOn w:val="1"/>
    <w:next w:val="1"/>
    <w:link w:val="20"/>
    <w:qFormat/>
    <w:uiPriority w:val="99"/>
    <w:pPr>
      <w:keepNext/>
      <w:keepLines/>
      <w:spacing w:line="416" w:lineRule="auto"/>
      <w:outlineLvl w:val="1"/>
    </w:pPr>
    <w:rPr>
      <w:rFonts w:ascii="Cambria" w:hAnsi="Cambria" w:eastAsia="仿宋_GB2312" w:cs="Times New Roman"/>
      <w:b/>
      <w:bCs/>
      <w:kern w:val="0"/>
      <w:sz w:val="32"/>
      <w:szCs w:val="32"/>
    </w:rPr>
  </w:style>
  <w:style w:type="paragraph" w:styleId="4">
    <w:name w:val="heading 5"/>
    <w:basedOn w:val="1"/>
    <w:next w:val="1"/>
    <w:link w:val="23"/>
    <w:semiHidden/>
    <w:unhideWhenUsed/>
    <w:qFormat/>
    <w:uiPriority w:val="9"/>
    <w:pPr>
      <w:keepNext/>
      <w:keepLines/>
      <w:spacing w:before="280" w:after="290" w:line="376" w:lineRule="auto"/>
      <w:outlineLvl w:val="4"/>
    </w:pPr>
    <w:rPr>
      <w:b/>
      <w:bCs/>
      <w:sz w:val="28"/>
      <w:szCs w:val="28"/>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Layout w:type="fixed"/>
      <w:tblCellMar>
        <w:top w:w="0" w:type="dxa"/>
        <w:left w:w="108" w:type="dxa"/>
        <w:bottom w:w="0" w:type="dxa"/>
        <w:right w:w="108" w:type="dxa"/>
      </w:tblCellMar>
    </w:tblPr>
  </w:style>
  <w:style w:type="paragraph" w:styleId="5">
    <w:name w:val="Body Text"/>
    <w:basedOn w:val="1"/>
    <w:link w:val="26"/>
    <w:qFormat/>
    <w:uiPriority w:val="0"/>
    <w:pPr>
      <w:jc w:val="center"/>
    </w:pPr>
    <w:rPr>
      <w:rFonts w:ascii="Times New Roman" w:hAnsi="Times New Roman" w:cs="Times New Roman"/>
      <w:b/>
      <w:szCs w:val="20"/>
    </w:rPr>
  </w:style>
  <w:style w:type="paragraph" w:styleId="6">
    <w:name w:val="Plain Text"/>
    <w:basedOn w:val="1"/>
    <w:link w:val="21"/>
    <w:qFormat/>
    <w:uiPriority w:val="0"/>
    <w:pPr>
      <w:jc w:val="left"/>
    </w:pPr>
    <w:rPr>
      <w:rFonts w:ascii="宋体" w:hAnsi="Courier New" w:cs="Times New Roman"/>
      <w:kern w:val="0"/>
      <w:szCs w:val="20"/>
    </w:rPr>
  </w:style>
  <w:style w:type="paragraph" w:styleId="7">
    <w:name w:val="footer"/>
    <w:basedOn w:val="1"/>
    <w:link w:val="18"/>
    <w:unhideWhenUsed/>
    <w:qFormat/>
    <w:uiPriority w:val="99"/>
    <w:pPr>
      <w:tabs>
        <w:tab w:val="center" w:pos="4153"/>
        <w:tab w:val="right" w:pos="8306"/>
      </w:tabs>
      <w:snapToGrid w:val="0"/>
      <w:jc w:val="left"/>
    </w:pPr>
    <w:rPr>
      <w:sz w:val="18"/>
      <w:szCs w:val="18"/>
    </w:rPr>
  </w:style>
  <w:style w:type="paragraph" w:styleId="8">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39"/>
  </w:style>
  <w:style w:type="paragraph" w:styleId="10">
    <w:name w:val="toc 2"/>
    <w:basedOn w:val="1"/>
    <w:next w:val="1"/>
    <w:qFormat/>
    <w:uiPriority w:val="39"/>
    <w:pPr>
      <w:ind w:left="420" w:leftChars="200"/>
    </w:pPr>
  </w:style>
  <w:style w:type="paragraph" w:styleId="11">
    <w:name w:val="Body Text 2"/>
    <w:basedOn w:val="1"/>
    <w:link w:val="25"/>
    <w:semiHidden/>
    <w:unhideWhenUsed/>
    <w:qFormat/>
    <w:uiPriority w:val="99"/>
    <w:pPr>
      <w:spacing w:after="120" w:line="480" w:lineRule="auto"/>
    </w:pPr>
    <w:rPr>
      <w:rFonts w:ascii="Times New Roman" w:hAnsi="Times New Roman" w:cs="Times New Roman"/>
      <w:szCs w:val="24"/>
    </w:rPr>
  </w:style>
  <w:style w:type="paragraph" w:styleId="12">
    <w:name w:val="Normal (Web)"/>
    <w:basedOn w:val="1"/>
    <w:qFormat/>
    <w:uiPriority w:val="0"/>
    <w:pPr>
      <w:spacing w:beforeAutospacing="1" w:afterAutospacing="1"/>
      <w:jc w:val="left"/>
    </w:pPr>
    <w:rPr>
      <w:rFonts w:cs="Times New Roman" w:asciiTheme="minorHAnsi" w:hAnsiTheme="minorHAnsi" w:eastAsiaTheme="minorEastAsia"/>
      <w:kern w:val="0"/>
      <w:sz w:val="24"/>
      <w:szCs w:val="22"/>
    </w:rPr>
  </w:style>
  <w:style w:type="character" w:styleId="15">
    <w:name w:val="Strong"/>
    <w:qFormat/>
    <w:uiPriority w:val="0"/>
    <w:rPr>
      <w:rFonts w:ascii="Verdana" w:hAnsi="Verdana"/>
      <w:b/>
      <w:bCs/>
      <w:kern w:val="0"/>
      <w:sz w:val="20"/>
      <w:szCs w:val="20"/>
      <w:lang w:eastAsia="en-US"/>
    </w:rPr>
  </w:style>
  <w:style w:type="character" w:styleId="16">
    <w:name w:val="Hyperlink"/>
    <w:basedOn w:val="14"/>
    <w:qFormat/>
    <w:uiPriority w:val="99"/>
    <w:rPr>
      <w:rFonts w:cs="Times New Roman"/>
      <w:color w:val="0000FF"/>
      <w:u w:val="single"/>
    </w:rPr>
  </w:style>
  <w:style w:type="character" w:customStyle="1" w:styleId="17">
    <w:name w:val="页眉 Char"/>
    <w:basedOn w:val="14"/>
    <w:link w:val="8"/>
    <w:qFormat/>
    <w:uiPriority w:val="99"/>
    <w:rPr>
      <w:sz w:val="18"/>
      <w:szCs w:val="18"/>
    </w:rPr>
  </w:style>
  <w:style w:type="character" w:customStyle="1" w:styleId="18">
    <w:name w:val="页脚 Char"/>
    <w:basedOn w:val="14"/>
    <w:link w:val="7"/>
    <w:qFormat/>
    <w:uiPriority w:val="99"/>
    <w:rPr>
      <w:sz w:val="18"/>
      <w:szCs w:val="18"/>
    </w:rPr>
  </w:style>
  <w:style w:type="character" w:customStyle="1" w:styleId="19">
    <w:name w:val="标题 1 Char"/>
    <w:basedOn w:val="14"/>
    <w:link w:val="2"/>
    <w:qFormat/>
    <w:uiPriority w:val="99"/>
    <w:rPr>
      <w:rFonts w:ascii="Times New Roman" w:hAnsi="Times New Roman" w:eastAsia="仿宋_GB2312" w:cs="Times New Roman"/>
      <w:b/>
      <w:bCs/>
      <w:kern w:val="44"/>
      <w:sz w:val="44"/>
      <w:szCs w:val="44"/>
    </w:rPr>
  </w:style>
  <w:style w:type="character" w:customStyle="1" w:styleId="20">
    <w:name w:val="标题 2 Char"/>
    <w:basedOn w:val="14"/>
    <w:link w:val="3"/>
    <w:qFormat/>
    <w:uiPriority w:val="99"/>
    <w:rPr>
      <w:rFonts w:ascii="Cambria" w:hAnsi="Cambria" w:eastAsia="仿宋_GB2312" w:cs="Times New Roman"/>
      <w:b/>
      <w:bCs/>
      <w:kern w:val="0"/>
      <w:sz w:val="32"/>
      <w:szCs w:val="32"/>
    </w:rPr>
  </w:style>
  <w:style w:type="character" w:customStyle="1" w:styleId="21">
    <w:name w:val="纯文本 Char"/>
    <w:basedOn w:val="14"/>
    <w:link w:val="6"/>
    <w:qFormat/>
    <w:uiPriority w:val="0"/>
    <w:rPr>
      <w:rFonts w:ascii="宋体" w:hAnsi="Courier New" w:eastAsia="宋体" w:cs="Times New Roman"/>
      <w:kern w:val="0"/>
      <w:szCs w:val="20"/>
    </w:rPr>
  </w:style>
  <w:style w:type="paragraph" w:styleId="22">
    <w:name w:val="List Paragraph"/>
    <w:basedOn w:val="1"/>
    <w:qFormat/>
    <w:uiPriority w:val="34"/>
    <w:pPr>
      <w:ind w:firstLine="420" w:firstLineChars="200"/>
    </w:pPr>
  </w:style>
  <w:style w:type="character" w:customStyle="1" w:styleId="23">
    <w:name w:val="标题 5 Char"/>
    <w:basedOn w:val="14"/>
    <w:link w:val="4"/>
    <w:semiHidden/>
    <w:qFormat/>
    <w:uiPriority w:val="9"/>
    <w:rPr>
      <w:rFonts w:ascii="Calibri" w:hAnsi="Calibri" w:eastAsia="宋体" w:cs="Calibri"/>
      <w:b/>
      <w:bCs/>
      <w:sz w:val="28"/>
      <w:szCs w:val="28"/>
    </w:rPr>
  </w:style>
  <w:style w:type="paragraph" w:customStyle="1" w:styleId="24">
    <w:name w:val="列出段落1"/>
    <w:basedOn w:val="1"/>
    <w:qFormat/>
    <w:uiPriority w:val="34"/>
    <w:pPr>
      <w:ind w:firstLine="420" w:firstLineChars="200"/>
    </w:pPr>
    <w:rPr>
      <w:rFonts w:cs="Times New Roman"/>
      <w:szCs w:val="22"/>
    </w:rPr>
  </w:style>
  <w:style w:type="character" w:customStyle="1" w:styleId="25">
    <w:name w:val="正文文本 2 Char"/>
    <w:basedOn w:val="14"/>
    <w:link w:val="11"/>
    <w:semiHidden/>
    <w:qFormat/>
    <w:uiPriority w:val="99"/>
    <w:rPr>
      <w:rFonts w:ascii="Times New Roman" w:hAnsi="Times New Roman" w:eastAsia="宋体" w:cs="Times New Roman"/>
      <w:szCs w:val="24"/>
    </w:rPr>
  </w:style>
  <w:style w:type="character" w:customStyle="1" w:styleId="26">
    <w:name w:val="正文文本 Char"/>
    <w:basedOn w:val="14"/>
    <w:link w:val="5"/>
    <w:qFormat/>
    <w:uiPriority w:val="0"/>
    <w:rPr>
      <w:rFonts w:ascii="Times New Roman" w:hAnsi="Times New Roman" w:eastAsia="宋体" w:cs="Times New Roman"/>
      <w:b/>
      <w:szCs w:val="20"/>
    </w:rPr>
  </w:style>
  <w:style w:type="paragraph" w:styleId="27">
    <w:name w:val="No Spacing"/>
    <w:qFormat/>
    <w:uiPriority w:val="0"/>
    <w:pPr>
      <w:widowControl w:val="0"/>
      <w:jc w:val="both"/>
    </w:pPr>
    <w:rPr>
      <w:rFonts w:ascii="Calibri" w:hAnsi="Calibri"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3"/>
    <customShpInfo spid="_x0000_s2052"/>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317AC65-720F-4AED-9AC8-A3C9A508CC83}">
  <ds:schemaRefs/>
</ds:datastoreItem>
</file>

<file path=docProps/app.xml><?xml version="1.0" encoding="utf-8"?>
<Properties xmlns="http://schemas.openxmlformats.org/officeDocument/2006/extended-properties" xmlns:vt="http://schemas.openxmlformats.org/officeDocument/2006/docPropsVTypes">
  <Template>Normal.dotm</Template>
  <Pages>17</Pages>
  <Words>943</Words>
  <Characters>5380</Characters>
  <Lines>44</Lines>
  <Paragraphs>12</Paragraphs>
  <TotalTime>58</TotalTime>
  <ScaleCrop>false</ScaleCrop>
  <LinksUpToDate>false</LinksUpToDate>
  <CharactersWithSpaces>6311</CharactersWithSpaces>
  <Application>WPS Office_11.1.0.8696_F1E327BC-269C-435d-A152-05C5408002CA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2018-03-06T02:03:00Z</dcterms:created>
  <dc:creator>匿名用户</dc:creator>
  <cp:lastModifiedBy>重生の记忆</cp:lastModifiedBy>
  <cp:lastPrinted>2018-06-25T07:25:00Z</cp:lastPrinted>
  <dcterms:modified xsi:type="dcterms:W3CDTF">2019-06-12T01:24:27Z</dcterms:modified>
  <cp:revision>70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