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E8404E">
      <w:pPr>
        <w:spacing w:line="640" w:lineRule="exact"/>
        <w:jc w:val="left"/>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附件</w:t>
      </w:r>
    </w:p>
    <w:p w14:paraId="08A813AD">
      <w:pPr>
        <w:spacing w:line="640" w:lineRule="exact"/>
        <w:jc w:val="center"/>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鄂尔多斯机场管理集团有限公司</w:t>
      </w:r>
    </w:p>
    <w:p w14:paraId="0BDAA898">
      <w:pPr>
        <w:spacing w:line="64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kern w:val="0"/>
          <w:sz w:val="44"/>
          <w:szCs w:val="44"/>
        </w:rPr>
        <w:t>董事会议事规则</w:t>
      </w:r>
    </w:p>
    <w:p w14:paraId="1E060061">
      <w:pPr>
        <w:spacing w:before="312" w:beforeLines="100" w:after="312" w:afterLines="100" w:line="600" w:lineRule="exact"/>
        <w:jc w:val="center"/>
        <w:rPr>
          <w:rFonts w:hint="eastAsia" w:ascii="黑体" w:hAnsi="黑体" w:eastAsia="黑体" w:cs="黑体"/>
          <w:bCs/>
          <w:color w:val="auto"/>
          <w:sz w:val="32"/>
          <w:szCs w:val="32"/>
        </w:rPr>
      </w:pPr>
      <w:r>
        <w:rPr>
          <w:rFonts w:hint="eastAsia" w:ascii="黑体" w:hAnsi="黑体" w:eastAsia="黑体" w:cs="黑体"/>
          <w:bCs/>
          <w:color w:val="auto"/>
          <w:sz w:val="32"/>
          <w:szCs w:val="32"/>
        </w:rPr>
        <w:t>第一章 总则</w:t>
      </w:r>
    </w:p>
    <w:p w14:paraId="2361F93D">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 xml:space="preserve"> </w:t>
      </w:r>
      <w:r>
        <w:rPr>
          <w:rFonts w:hint="eastAsia" w:ascii="仿宋" w:hAnsi="仿宋" w:eastAsia="仿宋" w:cs="仿宋"/>
          <w:bCs/>
          <w:color w:val="auto"/>
          <w:sz w:val="32"/>
          <w:szCs w:val="32"/>
        </w:rPr>
        <w:t>为了保证鄂尔多斯机场管理集团有限公司(下称集团公司)董事会工作效率和决策科学性，根据《中华人民共和国公司法》和《鄂尔多斯机场管理集团有限公司章程》(下称《章程》)的有关规定，制定《鄂尔多斯机场管理集团有限公司董事会议事规则》(下称《规则》)。</w:t>
      </w:r>
    </w:p>
    <w:p w14:paraId="5D7F7207">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_GB2312" w:hAnsi="仿宋_GB2312" w:eastAsia="仿宋_GB2312" w:cs="仿宋_GB2312"/>
          <w:bCs/>
          <w:color w:val="auto"/>
          <w:sz w:val="32"/>
          <w:szCs w:val="32"/>
        </w:rPr>
        <w:t xml:space="preserve"> </w:t>
      </w:r>
      <w:r>
        <w:rPr>
          <w:rFonts w:hint="eastAsia" w:ascii="仿宋" w:hAnsi="仿宋" w:eastAsia="仿宋" w:cs="仿宋"/>
          <w:bCs/>
          <w:color w:val="auto"/>
          <w:sz w:val="32"/>
          <w:szCs w:val="32"/>
        </w:rPr>
        <w:t>本公司为国有独资公司，不设股东会，公司董事会对鄂尔多斯市国有资产监督管理委员会（下称国资委）负责并向其报告工作。</w:t>
      </w:r>
    </w:p>
    <w:p w14:paraId="350E9CE3">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_GB2312" w:hAnsi="仿宋_GB2312" w:eastAsia="仿宋_GB2312" w:cs="仿宋_GB2312"/>
          <w:bCs/>
          <w:color w:val="auto"/>
          <w:sz w:val="32"/>
          <w:szCs w:val="32"/>
        </w:rPr>
        <w:t xml:space="preserve"> </w:t>
      </w:r>
      <w:r>
        <w:rPr>
          <w:rFonts w:hint="eastAsia" w:ascii="仿宋" w:hAnsi="仿宋" w:eastAsia="仿宋" w:cs="仿宋"/>
          <w:bCs/>
          <w:color w:val="auto"/>
          <w:sz w:val="32"/>
          <w:szCs w:val="32"/>
        </w:rPr>
        <w:t>公司党委研究讨论是董事会决策重大问题的前置程序。</w:t>
      </w:r>
    </w:p>
    <w:p w14:paraId="0D6D4970">
      <w:pPr>
        <w:spacing w:before="312" w:beforeLines="100" w:after="312" w:afterLines="100" w:line="600" w:lineRule="exact"/>
        <w:jc w:val="center"/>
        <w:rPr>
          <w:rFonts w:ascii="黑体" w:hAnsi="黑体" w:eastAsia="黑体" w:cs="黑体"/>
          <w:bCs/>
          <w:color w:val="auto"/>
          <w:sz w:val="32"/>
          <w:szCs w:val="32"/>
        </w:rPr>
      </w:pPr>
      <w:r>
        <w:rPr>
          <w:rFonts w:hint="eastAsia" w:ascii="黑体" w:hAnsi="黑体" w:eastAsia="黑体" w:cs="黑体"/>
          <w:bCs/>
          <w:color w:val="auto"/>
          <w:sz w:val="32"/>
          <w:szCs w:val="32"/>
        </w:rPr>
        <w:t>第二章 董事会的职责及议事范围</w:t>
      </w:r>
    </w:p>
    <w:p w14:paraId="5135C6A4">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集团公司设董事会办公室，董事会办公室设在战略规划部。董事会办公室主要职责：</w:t>
      </w:r>
    </w:p>
    <w:p w14:paraId="5445332C">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（一）协助处理董事会日常工作；</w:t>
      </w:r>
    </w:p>
    <w:p w14:paraId="388562A4">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（二）负责董事会会议的议案审核整理、会议组织、会议决议，会议纪要的编写、决议事项反馈督办、会议资料的整理、归档等；</w:t>
      </w:r>
    </w:p>
    <w:p w14:paraId="70A47CCC">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（三）负责董事会相关报告的撰写；</w:t>
      </w:r>
    </w:p>
    <w:p w14:paraId="71F8527C">
      <w:pPr>
        <w:spacing w:line="600" w:lineRule="exact"/>
        <w:ind w:firstLine="640" w:firstLineChars="200"/>
        <w:rPr>
          <w:rFonts w:hint="eastAsia" w:ascii="仿宋_GB2312" w:hAnsi="仿宋_GB2312" w:eastAsia="仿宋_GB2312" w:cs="仿宋_GB2312"/>
          <w:color w:val="auto"/>
          <w:sz w:val="32"/>
          <w:szCs w:val="32"/>
        </w:rPr>
      </w:pPr>
      <w:r>
        <w:rPr>
          <w:rFonts w:hint="eastAsia" w:ascii="仿宋" w:hAnsi="仿宋" w:eastAsia="仿宋" w:cs="仿宋"/>
          <w:color w:val="auto"/>
          <w:sz w:val="32"/>
          <w:szCs w:val="32"/>
        </w:rPr>
        <w:t>（四）办理董事会、董事长、董事交办的事务。</w:t>
      </w:r>
    </w:p>
    <w:p w14:paraId="2C123480">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 xml:space="preserve"> </w:t>
      </w:r>
      <w:r>
        <w:rPr>
          <w:rFonts w:hint="eastAsia" w:ascii="仿宋" w:hAnsi="仿宋" w:eastAsia="仿宋" w:cs="仿宋"/>
          <w:bCs/>
          <w:color w:val="auto"/>
          <w:sz w:val="32"/>
          <w:szCs w:val="32"/>
        </w:rPr>
        <w:t>董事会</w:t>
      </w:r>
      <w:r>
        <w:rPr>
          <w:rFonts w:hint="eastAsia" w:ascii="仿宋" w:hAnsi="仿宋" w:eastAsia="仿宋" w:cs="仿宋"/>
          <w:color w:val="auto"/>
          <w:sz w:val="32"/>
          <w:szCs w:val="32"/>
        </w:rPr>
        <w:t>审议或决定公司及所属全资、控股企业（含子企业及以下企业）的重大事项，</w:t>
      </w:r>
      <w:r>
        <w:rPr>
          <w:rFonts w:hint="eastAsia" w:ascii="仿宋" w:hAnsi="仿宋" w:eastAsia="仿宋" w:cs="仿宋"/>
          <w:bCs/>
          <w:color w:val="auto"/>
          <w:sz w:val="32"/>
          <w:szCs w:val="32"/>
        </w:rPr>
        <w:t>议事范围为：</w:t>
      </w:r>
    </w:p>
    <w:p w14:paraId="5F11E736">
      <w:pPr>
        <w:pStyle w:val="5"/>
        <w:spacing w:beforeLines="0" w:afterLines="0" w:line="600" w:lineRule="exact"/>
        <w:ind w:right="0" w:firstLine="640" w:firstLineChars="200"/>
        <w:outlineLvl w:val="9"/>
        <w:rPr>
          <w:rFonts w:hint="eastAsia" w:ascii="楷体" w:hAnsi="楷体" w:eastAsia="楷体" w:cs="楷体"/>
          <w:b w:val="0"/>
          <w:bCs/>
          <w:color w:val="auto"/>
          <w:sz w:val="32"/>
        </w:rPr>
      </w:pPr>
      <w:r>
        <w:rPr>
          <w:rFonts w:hint="eastAsia" w:ascii="楷体" w:hAnsi="楷体" w:eastAsia="楷体" w:cs="楷体"/>
          <w:b w:val="0"/>
          <w:bCs/>
          <w:color w:val="auto"/>
          <w:sz w:val="32"/>
        </w:rPr>
        <w:t>（一）重大决策事项</w:t>
      </w:r>
    </w:p>
    <w:p w14:paraId="09AA1B7C">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1．</w:t>
      </w:r>
      <w:r>
        <w:rPr>
          <w:rFonts w:hint="eastAsia" w:ascii="仿宋" w:hAnsi="仿宋" w:eastAsia="仿宋" w:cs="仿宋"/>
          <w:b w:val="0"/>
          <w:bCs w:val="0"/>
          <w:color w:val="auto"/>
          <w:sz w:val="32"/>
        </w:rPr>
        <w:t>执行市政府、市国资委及集团党委的各项决定，并及时报告集团公司的运营状况及发展情况；</w:t>
      </w:r>
    </w:p>
    <w:p w14:paraId="45322AEC">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2．</w:t>
      </w:r>
      <w:r>
        <w:rPr>
          <w:rFonts w:hint="eastAsia" w:ascii="仿宋" w:hAnsi="仿宋" w:eastAsia="仿宋" w:cs="仿宋"/>
          <w:b w:val="0"/>
          <w:bCs w:val="0"/>
          <w:color w:val="auto"/>
          <w:sz w:val="32"/>
        </w:rPr>
        <w:t xml:space="preserve">*制订集团公司及所属全资、控股企业增加或减少注册资本的方案以及发行公司债券的方案; </w:t>
      </w:r>
    </w:p>
    <w:p w14:paraId="4089536D">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3．</w:t>
      </w:r>
      <w:r>
        <w:rPr>
          <w:rFonts w:hint="eastAsia" w:ascii="仿宋" w:hAnsi="仿宋" w:eastAsia="仿宋" w:cs="仿宋"/>
          <w:b w:val="0"/>
          <w:bCs w:val="0"/>
          <w:color w:val="auto"/>
          <w:sz w:val="32"/>
        </w:rPr>
        <w:t xml:space="preserve">*制订集团公司及所属全资、控股企业合并、分立、解散、清算或变更公司形式的方案; </w:t>
      </w:r>
    </w:p>
    <w:p w14:paraId="4A1F0E82">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4．</w:t>
      </w:r>
      <w:r>
        <w:rPr>
          <w:rFonts w:hint="eastAsia" w:ascii="仿宋" w:hAnsi="仿宋" w:eastAsia="仿宋" w:cs="仿宋"/>
          <w:b w:val="0"/>
          <w:bCs w:val="0"/>
          <w:color w:val="auto"/>
          <w:sz w:val="32"/>
        </w:rPr>
        <w:t>*制订集团公司及所属全资、控股企业产权转让、无偿划转、联合重组等方案；</w:t>
      </w:r>
    </w:p>
    <w:p w14:paraId="4E686002">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FF0000"/>
          <w:sz w:val="32"/>
          <w:highlight w:val="yellow"/>
        </w:rPr>
      </w:pPr>
      <w:r>
        <w:rPr>
          <w:rFonts w:hint="eastAsia" w:ascii="仿宋" w:hAnsi="仿宋" w:eastAsia="仿宋" w:cs="仿宋"/>
          <w:b w:val="0"/>
          <w:bCs w:val="0"/>
          <w:color w:val="auto"/>
          <w:kern w:val="2"/>
          <w:sz w:val="32"/>
          <w:szCs w:val="32"/>
          <w:lang w:val="en-US" w:eastAsia="zh-CN" w:bidi="ar-SA"/>
        </w:rPr>
        <w:t>5．</w:t>
      </w:r>
      <w:r>
        <w:rPr>
          <w:rFonts w:hint="eastAsia" w:ascii="仿宋" w:hAnsi="仿宋" w:eastAsia="仿宋" w:cs="仿宋"/>
          <w:b w:val="0"/>
          <w:bCs w:val="0"/>
          <w:color w:val="auto"/>
          <w:sz w:val="32"/>
        </w:rPr>
        <w:t>*制订集团公司章程和公司章程的修订方案;</w:t>
      </w:r>
      <w:r>
        <w:rPr>
          <w:rFonts w:hint="eastAsia" w:ascii="仿宋" w:hAnsi="仿宋" w:eastAsia="仿宋" w:cs="仿宋"/>
          <w:b w:val="0"/>
          <w:bCs w:val="0"/>
          <w:color w:val="FF0000"/>
          <w:sz w:val="32"/>
          <w:highlight w:val="yellow"/>
        </w:rPr>
        <w:t>决定所属全资、控股企业章程的修订方案；</w:t>
      </w:r>
    </w:p>
    <w:p w14:paraId="00701BC0">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6．</w:t>
      </w:r>
      <w:r>
        <w:rPr>
          <w:rFonts w:hint="eastAsia" w:ascii="仿宋" w:hAnsi="仿宋" w:eastAsia="仿宋" w:cs="仿宋"/>
          <w:b w:val="0"/>
          <w:bCs w:val="0"/>
          <w:color w:val="auto"/>
          <w:sz w:val="32"/>
        </w:rPr>
        <w:t>决定聘用或解聘承办集团公司审计业务的会计师事务所，并决定其报酬;</w:t>
      </w:r>
    </w:p>
    <w:p w14:paraId="1798A3D6">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7．</w:t>
      </w:r>
      <w:r>
        <w:rPr>
          <w:rFonts w:hint="eastAsia" w:ascii="仿宋" w:hAnsi="仿宋" w:eastAsia="仿宋" w:cs="仿宋"/>
          <w:b w:val="0"/>
          <w:bCs w:val="0"/>
          <w:color w:val="auto"/>
          <w:sz w:val="32"/>
        </w:rPr>
        <w:t>履行对集团公司所属全资、控股、参股企业的股东职权事项；</w:t>
      </w:r>
    </w:p>
    <w:p w14:paraId="02181B4E">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8．</w:t>
      </w:r>
      <w:r>
        <w:rPr>
          <w:rFonts w:hint="eastAsia" w:ascii="仿宋" w:hAnsi="仿宋" w:eastAsia="仿宋" w:cs="仿宋"/>
          <w:b w:val="0"/>
          <w:bCs w:val="0"/>
          <w:color w:val="auto"/>
          <w:sz w:val="32"/>
        </w:rPr>
        <w:t>决定集团公司发展战略和中长期发展规划、重大专项计划、全年和阶段性重要工作部署等方面的事项，并对其实施进行监控；</w:t>
      </w:r>
    </w:p>
    <w:p w14:paraId="129585C3">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9．</w:t>
      </w:r>
      <w:r>
        <w:rPr>
          <w:rFonts w:hint="eastAsia" w:ascii="仿宋" w:hAnsi="仿宋" w:eastAsia="仿宋" w:cs="仿宋"/>
          <w:b w:val="0"/>
          <w:bCs w:val="0"/>
          <w:color w:val="auto"/>
          <w:sz w:val="32"/>
        </w:rPr>
        <w:t>决定集团及所属全资、控股企业的经营计划及年度经营目标；</w:t>
      </w:r>
    </w:p>
    <w:p w14:paraId="28E4C0B9">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10．</w:t>
      </w:r>
      <w:r>
        <w:rPr>
          <w:rFonts w:hint="eastAsia" w:ascii="仿宋" w:hAnsi="仿宋" w:eastAsia="仿宋" w:cs="仿宋"/>
          <w:b w:val="0"/>
          <w:bCs w:val="0"/>
          <w:color w:val="auto"/>
          <w:sz w:val="32"/>
        </w:rPr>
        <w:t>决定集团及所属全资、控股企业重大安全生产、重要对外合作、收入分配、产权变更等关系长远发展、涉及员工切身利益等方面的事项;</w:t>
      </w:r>
    </w:p>
    <w:p w14:paraId="0E38F732">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11．</w:t>
      </w:r>
      <w:r>
        <w:rPr>
          <w:rFonts w:hint="eastAsia" w:ascii="仿宋" w:hAnsi="仿宋" w:eastAsia="仿宋" w:cs="仿宋"/>
          <w:b w:val="0"/>
          <w:bCs w:val="0"/>
          <w:color w:val="auto"/>
          <w:sz w:val="32"/>
        </w:rPr>
        <w:t>决定监督、审计中发现的重大问题和建议整改措施等事项；</w:t>
      </w:r>
    </w:p>
    <w:p w14:paraId="65B7253E">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12．</w:t>
      </w:r>
      <w:r>
        <w:rPr>
          <w:rFonts w:hint="eastAsia" w:ascii="仿宋" w:hAnsi="仿宋" w:eastAsia="仿宋" w:cs="仿宋"/>
          <w:b w:val="0"/>
          <w:bCs w:val="0"/>
          <w:color w:val="auto"/>
          <w:sz w:val="32"/>
        </w:rPr>
        <w:t>决定集团内部资产重组、重大改革方案等事项；</w:t>
      </w:r>
    </w:p>
    <w:p w14:paraId="49F6E6C0">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13．</w:t>
      </w:r>
      <w:r>
        <w:rPr>
          <w:rFonts w:hint="eastAsia" w:ascii="仿宋" w:hAnsi="仿宋" w:eastAsia="仿宋" w:cs="仿宋"/>
          <w:b w:val="0"/>
          <w:bCs w:val="0"/>
          <w:color w:val="auto"/>
          <w:sz w:val="32"/>
        </w:rPr>
        <w:t>决定集团公司风险管理体系，包括风险评估、财务控制、内部审计、内部控制、法律风险控制等实施方案或报告，并实施监控;</w:t>
      </w:r>
    </w:p>
    <w:p w14:paraId="6DE18078">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14．</w:t>
      </w:r>
      <w:r>
        <w:rPr>
          <w:rFonts w:hint="eastAsia" w:ascii="仿宋" w:hAnsi="仿宋" w:eastAsia="仿宋" w:cs="仿宋"/>
          <w:b w:val="0"/>
          <w:bCs w:val="0"/>
          <w:color w:val="auto"/>
          <w:sz w:val="32"/>
        </w:rPr>
        <w:t>决定集团公司的董事会、总经理办公会议事规则等重要文件；</w:t>
      </w:r>
    </w:p>
    <w:p w14:paraId="596347AB">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15．</w:t>
      </w:r>
      <w:r>
        <w:rPr>
          <w:rFonts w:hint="eastAsia" w:ascii="仿宋" w:hAnsi="仿宋" w:eastAsia="仿宋" w:cs="仿宋"/>
          <w:b w:val="0"/>
          <w:bCs w:val="0"/>
          <w:color w:val="auto"/>
          <w:sz w:val="32"/>
        </w:rPr>
        <w:t>决定集团公司基本管理制度；</w:t>
      </w:r>
    </w:p>
    <w:p w14:paraId="3ED89032">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bCs w:val="0"/>
          <w:color w:val="auto"/>
          <w:sz w:val="32"/>
        </w:rPr>
      </w:pPr>
      <w:r>
        <w:rPr>
          <w:rFonts w:hint="eastAsia" w:ascii="仿宋" w:hAnsi="仿宋" w:eastAsia="仿宋" w:cs="仿宋"/>
          <w:b w:val="0"/>
          <w:bCs w:val="0"/>
          <w:color w:val="auto"/>
          <w:kern w:val="2"/>
          <w:sz w:val="32"/>
          <w:szCs w:val="32"/>
          <w:lang w:val="en-US" w:eastAsia="zh-CN" w:bidi="ar-SA"/>
        </w:rPr>
        <w:t>16．</w:t>
      </w:r>
      <w:r>
        <w:rPr>
          <w:rFonts w:hint="eastAsia" w:ascii="仿宋" w:hAnsi="仿宋" w:eastAsia="仿宋" w:cs="仿宋"/>
          <w:b w:val="0"/>
          <w:bCs w:val="0"/>
          <w:color w:val="auto"/>
          <w:sz w:val="32"/>
        </w:rPr>
        <w:t>听取集团公司总经理的工作汇报，督促检查董事会决议执行情况;</w:t>
      </w:r>
    </w:p>
    <w:p w14:paraId="42EE05A4">
      <w:pPr>
        <w:pStyle w:val="5"/>
        <w:numPr>
          <w:ilvl w:val="0"/>
          <w:numId w:val="0"/>
        </w:numPr>
        <w:spacing w:beforeLines="0" w:afterLines="0" w:line="600" w:lineRule="exact"/>
        <w:ind w:left="-10" w:leftChars="0" w:right="0" w:rightChars="0" w:firstLine="640" w:firstLineChars="0"/>
        <w:outlineLvl w:val="9"/>
        <w:rPr>
          <w:rFonts w:hint="eastAsia" w:ascii="仿宋" w:hAnsi="仿宋" w:eastAsia="仿宋" w:cs="仿宋"/>
          <w:b w:val="0"/>
          <w:color w:val="auto"/>
          <w:sz w:val="32"/>
        </w:rPr>
      </w:pPr>
      <w:r>
        <w:rPr>
          <w:rFonts w:hint="eastAsia" w:ascii="仿宋" w:hAnsi="仿宋" w:eastAsia="仿宋" w:cs="仿宋"/>
          <w:b w:val="0"/>
          <w:color w:val="auto"/>
          <w:kern w:val="2"/>
          <w:sz w:val="32"/>
          <w:szCs w:val="32"/>
          <w:lang w:val="en-US" w:eastAsia="zh-CN" w:bidi="ar-SA"/>
        </w:rPr>
        <w:t>17．</w:t>
      </w:r>
      <w:r>
        <w:rPr>
          <w:rFonts w:hint="eastAsia" w:ascii="仿宋" w:hAnsi="仿宋" w:eastAsia="仿宋" w:cs="仿宋"/>
          <w:b w:val="0"/>
          <w:bCs w:val="0"/>
          <w:color w:val="auto"/>
          <w:sz w:val="32"/>
        </w:rPr>
        <w:t>其它需董事会集体研究决定的事项。</w:t>
      </w:r>
    </w:p>
    <w:p w14:paraId="718DEDCA">
      <w:pPr>
        <w:pStyle w:val="5"/>
        <w:spacing w:beforeLines="0" w:afterLines="0" w:line="600" w:lineRule="exact"/>
        <w:ind w:right="0" w:firstLine="640" w:firstLineChars="200"/>
        <w:outlineLvl w:val="9"/>
        <w:rPr>
          <w:rFonts w:hint="eastAsia" w:ascii="楷体" w:hAnsi="楷体" w:eastAsia="楷体" w:cs="楷体"/>
          <w:b w:val="0"/>
          <w:color w:val="auto"/>
          <w:sz w:val="32"/>
        </w:rPr>
      </w:pPr>
      <w:r>
        <w:rPr>
          <w:rFonts w:hint="eastAsia" w:ascii="楷体" w:hAnsi="楷体" w:eastAsia="楷体" w:cs="楷体"/>
          <w:b w:val="0"/>
          <w:color w:val="auto"/>
          <w:sz w:val="32"/>
        </w:rPr>
        <w:t>（二）重要人事任免事项</w:t>
      </w:r>
    </w:p>
    <w:p w14:paraId="0AD5F344">
      <w:pPr>
        <w:pStyle w:val="5"/>
        <w:spacing w:beforeLines="0" w:afterLines="0" w:line="600" w:lineRule="exact"/>
        <w:ind w:right="0" w:firstLine="640" w:firstLineChars="200"/>
        <w:outlineLvl w:val="9"/>
        <w:rPr>
          <w:rFonts w:hint="eastAsia" w:ascii="仿宋" w:hAnsi="仿宋" w:eastAsia="仿宋" w:cs="仿宋"/>
          <w:b w:val="0"/>
          <w:color w:val="auto"/>
          <w:sz w:val="32"/>
        </w:rPr>
      </w:pPr>
      <w:bookmarkStart w:id="0" w:name="_GoBack"/>
      <w:r>
        <w:rPr>
          <w:rFonts w:hint="eastAsia" w:ascii="仿宋" w:hAnsi="仿宋" w:eastAsia="仿宋" w:cs="仿宋"/>
          <w:b w:val="0"/>
          <w:bCs/>
          <w:color w:val="auto"/>
          <w:kern w:val="0"/>
          <w:sz w:val="32"/>
        </w:rPr>
        <w:t>1.*决定</w:t>
      </w:r>
      <w:r>
        <w:rPr>
          <w:rFonts w:hint="eastAsia" w:ascii="仿宋" w:hAnsi="仿宋" w:eastAsia="仿宋" w:cs="仿宋"/>
          <w:b w:val="0"/>
          <w:color w:val="auto"/>
          <w:sz w:val="32"/>
        </w:rPr>
        <w:t>集团公司经理层成员的推荐、提名、聘任、解聘、考核、薪酬发放等事项；拟定以上人员的违规违纪处理等事项。</w:t>
      </w:r>
    </w:p>
    <w:bookmarkEnd w:id="0"/>
    <w:p w14:paraId="48B84DED">
      <w:pPr>
        <w:spacing w:line="600" w:lineRule="exact"/>
        <w:ind w:firstLine="640" w:firstLineChars="200"/>
        <w:rPr>
          <w:rFonts w:hint="eastAsia" w:ascii="仿宋" w:hAnsi="仿宋" w:eastAsia="仿宋" w:cs="仿宋"/>
          <w:bCs/>
          <w:color w:val="auto"/>
          <w:sz w:val="32"/>
        </w:rPr>
      </w:pPr>
      <w:r>
        <w:rPr>
          <w:rFonts w:hint="eastAsia" w:ascii="仿宋" w:hAnsi="仿宋" w:eastAsia="仿宋" w:cs="仿宋"/>
          <w:color w:val="auto"/>
          <w:sz w:val="32"/>
          <w:szCs w:val="32"/>
        </w:rPr>
        <w:t>2.</w:t>
      </w:r>
      <w:r>
        <w:rPr>
          <w:rFonts w:hint="eastAsia" w:ascii="仿宋" w:hAnsi="仿宋" w:eastAsia="仿宋" w:cs="仿宋"/>
          <w:color w:val="auto"/>
          <w:sz w:val="32"/>
        </w:rPr>
        <w:t>决定集团公司及</w:t>
      </w:r>
      <w:r>
        <w:rPr>
          <w:rFonts w:hint="eastAsia" w:ascii="仿宋" w:hAnsi="仿宋" w:eastAsia="仿宋" w:cs="仿宋"/>
          <w:bCs/>
          <w:color w:val="auto"/>
          <w:sz w:val="32"/>
          <w:szCs w:val="32"/>
        </w:rPr>
        <w:t>所属全资、控股企业</w:t>
      </w:r>
      <w:r>
        <w:rPr>
          <w:rFonts w:hint="eastAsia" w:ascii="仿宋" w:hAnsi="仿宋" w:eastAsia="仿宋" w:cs="仿宋"/>
          <w:color w:val="auto"/>
          <w:sz w:val="32"/>
        </w:rPr>
        <w:t>“三定”方案</w:t>
      </w:r>
      <w:r>
        <w:rPr>
          <w:rFonts w:hint="eastAsia" w:ascii="仿宋" w:hAnsi="仿宋" w:eastAsia="仿宋" w:cs="仿宋"/>
          <w:bCs/>
          <w:color w:val="auto"/>
          <w:sz w:val="32"/>
        </w:rPr>
        <w:t>、机构编制的设置及调整事项；</w:t>
      </w:r>
    </w:p>
    <w:p w14:paraId="30328920">
      <w:pPr>
        <w:pStyle w:val="5"/>
        <w:spacing w:beforeLines="0" w:afterLines="0" w:line="600" w:lineRule="exact"/>
        <w:ind w:right="0" w:firstLine="640" w:firstLineChars="200"/>
        <w:outlineLvl w:val="9"/>
        <w:rPr>
          <w:rFonts w:hint="eastAsia" w:ascii="仿宋" w:hAnsi="仿宋" w:eastAsia="仿宋" w:cs="仿宋"/>
          <w:b w:val="0"/>
          <w:color w:val="auto"/>
          <w:sz w:val="32"/>
        </w:rPr>
      </w:pPr>
      <w:r>
        <w:rPr>
          <w:rFonts w:hint="eastAsia" w:ascii="仿宋" w:hAnsi="仿宋" w:eastAsia="仿宋" w:cs="仿宋"/>
          <w:b w:val="0"/>
          <w:color w:val="auto"/>
          <w:sz w:val="32"/>
        </w:rPr>
        <w:t>3.决定集团公司及</w:t>
      </w:r>
      <w:r>
        <w:rPr>
          <w:rFonts w:hint="eastAsia" w:ascii="仿宋" w:hAnsi="仿宋" w:eastAsia="仿宋" w:cs="仿宋"/>
          <w:b w:val="0"/>
          <w:bCs/>
          <w:color w:val="auto"/>
          <w:sz w:val="32"/>
        </w:rPr>
        <w:t>所属全资、控股企业</w:t>
      </w:r>
      <w:r>
        <w:rPr>
          <w:rFonts w:hint="eastAsia" w:ascii="仿宋" w:hAnsi="仿宋" w:eastAsia="仿宋" w:cs="仿宋"/>
          <w:b w:val="0"/>
          <w:color w:val="auto"/>
          <w:sz w:val="32"/>
        </w:rPr>
        <w:t>人事、人才、薪酬等工作中的重大问题；</w:t>
      </w:r>
    </w:p>
    <w:p w14:paraId="50CB461A">
      <w:pPr>
        <w:pStyle w:val="5"/>
        <w:spacing w:beforeLines="0" w:afterLines="0" w:line="600" w:lineRule="exact"/>
        <w:ind w:right="0" w:firstLine="640" w:firstLineChars="200"/>
        <w:outlineLvl w:val="9"/>
        <w:rPr>
          <w:rFonts w:hint="eastAsia" w:ascii="仿宋" w:hAnsi="仿宋" w:eastAsia="仿宋" w:cs="仿宋"/>
          <w:b w:val="0"/>
          <w:bCs/>
          <w:color w:val="auto"/>
          <w:kern w:val="0"/>
          <w:sz w:val="32"/>
        </w:rPr>
      </w:pPr>
      <w:r>
        <w:rPr>
          <w:rFonts w:hint="eastAsia" w:ascii="仿宋" w:hAnsi="仿宋" w:eastAsia="仿宋" w:cs="仿宋"/>
          <w:b w:val="0"/>
          <w:bCs/>
          <w:color w:val="auto"/>
          <w:kern w:val="0"/>
          <w:sz w:val="32"/>
        </w:rPr>
        <w:t>5.决定向集团所属全资、参控股企业委派股东代表，向全资子公司、参控股公司委派董事会、监事会成员等事项；</w:t>
      </w:r>
    </w:p>
    <w:p w14:paraId="598DB0B0">
      <w:pPr>
        <w:pStyle w:val="5"/>
        <w:spacing w:beforeLines="0" w:afterLines="0" w:line="600" w:lineRule="exact"/>
        <w:ind w:right="0" w:firstLine="640" w:firstLineChars="200"/>
        <w:outlineLvl w:val="9"/>
        <w:rPr>
          <w:rFonts w:hint="eastAsia" w:ascii="仿宋" w:hAnsi="仿宋" w:eastAsia="仿宋" w:cs="仿宋"/>
          <w:b w:val="0"/>
          <w:color w:val="auto"/>
          <w:sz w:val="32"/>
        </w:rPr>
      </w:pPr>
      <w:r>
        <w:rPr>
          <w:rFonts w:hint="eastAsia" w:ascii="仿宋" w:hAnsi="仿宋" w:eastAsia="仿宋" w:cs="仿宋"/>
          <w:b w:val="0"/>
          <w:color w:val="auto"/>
          <w:sz w:val="32"/>
        </w:rPr>
        <w:t>6.其它需董事会集体研究决定的事项。</w:t>
      </w:r>
    </w:p>
    <w:p w14:paraId="5FEDE344">
      <w:pPr>
        <w:pStyle w:val="5"/>
        <w:spacing w:beforeLines="0" w:afterLines="0" w:line="600" w:lineRule="exact"/>
        <w:ind w:left="420" w:leftChars="200" w:right="0"/>
        <w:outlineLvl w:val="9"/>
        <w:rPr>
          <w:rFonts w:hint="eastAsia" w:ascii="楷体" w:hAnsi="楷体" w:eastAsia="楷体" w:cs="楷体"/>
          <w:b w:val="0"/>
          <w:bCs/>
          <w:color w:val="auto"/>
          <w:sz w:val="32"/>
        </w:rPr>
      </w:pPr>
      <w:r>
        <w:rPr>
          <w:rFonts w:hint="eastAsia" w:ascii="楷体" w:hAnsi="楷体" w:eastAsia="楷体" w:cs="楷体"/>
          <w:b w:val="0"/>
          <w:bCs/>
          <w:color w:val="auto"/>
          <w:sz w:val="32"/>
        </w:rPr>
        <w:t>（三）重大项目安排事项</w:t>
      </w:r>
    </w:p>
    <w:p w14:paraId="23C6D70A">
      <w:pPr>
        <w:pStyle w:val="5"/>
        <w:numPr>
          <w:ilvl w:val="0"/>
          <w:numId w:val="2"/>
        </w:numPr>
        <w:spacing w:beforeLines="0" w:afterLines="0" w:line="600" w:lineRule="exact"/>
        <w:ind w:right="0" w:firstLine="640"/>
        <w:outlineLvl w:val="9"/>
        <w:rPr>
          <w:rFonts w:hint="eastAsia" w:ascii="仿宋" w:hAnsi="仿宋" w:eastAsia="仿宋" w:cs="仿宋"/>
          <w:b w:val="0"/>
          <w:color w:val="auto"/>
          <w:kern w:val="0"/>
          <w:sz w:val="32"/>
        </w:rPr>
      </w:pPr>
      <w:r>
        <w:rPr>
          <w:rFonts w:hint="eastAsia" w:ascii="仿宋" w:hAnsi="仿宋" w:eastAsia="仿宋" w:cs="仿宋"/>
          <w:b w:val="0"/>
          <w:color w:val="auto"/>
          <w:sz w:val="32"/>
        </w:rPr>
        <w:t>决定</w:t>
      </w:r>
      <w:r>
        <w:rPr>
          <w:rFonts w:hint="eastAsia" w:ascii="仿宋" w:hAnsi="仿宋" w:eastAsia="仿宋" w:cs="仿宋"/>
          <w:b w:val="0"/>
          <w:color w:val="auto"/>
          <w:kern w:val="0"/>
          <w:sz w:val="32"/>
        </w:rPr>
        <w:t>集团公司及</w:t>
      </w:r>
      <w:r>
        <w:rPr>
          <w:rFonts w:hint="eastAsia" w:ascii="仿宋" w:hAnsi="仿宋" w:eastAsia="仿宋" w:cs="仿宋"/>
          <w:b w:val="0"/>
          <w:color w:val="auto"/>
          <w:sz w:val="32"/>
        </w:rPr>
        <w:t>所属全资、控股企业</w:t>
      </w:r>
      <w:r>
        <w:rPr>
          <w:rFonts w:hint="eastAsia" w:ascii="仿宋" w:hAnsi="仿宋" w:eastAsia="仿宋" w:cs="仿宋"/>
          <w:b w:val="0"/>
          <w:color w:val="auto"/>
          <w:kern w:val="0"/>
          <w:sz w:val="32"/>
        </w:rPr>
        <w:t>年度投资计划、股权投资变更及</w:t>
      </w:r>
      <w:r>
        <w:rPr>
          <w:rFonts w:hint="eastAsia" w:ascii="仿宋" w:hAnsi="仿宋" w:eastAsia="仿宋" w:cs="仿宋"/>
          <w:b w:val="0"/>
          <w:color w:val="auto"/>
          <w:sz w:val="32"/>
        </w:rPr>
        <w:t>5万元（不含）以上</w:t>
      </w:r>
      <w:r>
        <w:rPr>
          <w:rFonts w:hint="eastAsia" w:ascii="仿宋" w:hAnsi="仿宋" w:eastAsia="仿宋" w:cs="仿宋"/>
          <w:b w:val="0"/>
          <w:color w:val="auto"/>
          <w:kern w:val="0"/>
          <w:sz w:val="32"/>
        </w:rPr>
        <w:t>重大工程项目、固定资产投资</w:t>
      </w:r>
      <w:r>
        <w:rPr>
          <w:rFonts w:hint="eastAsia" w:ascii="仿宋" w:hAnsi="仿宋" w:eastAsia="仿宋" w:cs="仿宋"/>
          <w:b w:val="0"/>
          <w:color w:val="auto"/>
          <w:sz w:val="32"/>
        </w:rPr>
        <w:t>的投资</w:t>
      </w:r>
      <w:r>
        <w:rPr>
          <w:rFonts w:hint="eastAsia" w:ascii="仿宋" w:hAnsi="仿宋" w:eastAsia="仿宋" w:cs="仿宋"/>
          <w:b w:val="0"/>
          <w:color w:val="auto"/>
          <w:kern w:val="0"/>
          <w:sz w:val="32"/>
        </w:rPr>
        <w:t>变更；</w:t>
      </w:r>
    </w:p>
    <w:p w14:paraId="373AC6FD">
      <w:pPr>
        <w:pStyle w:val="5"/>
        <w:numPr>
          <w:ilvl w:val="0"/>
          <w:numId w:val="2"/>
        </w:numPr>
        <w:spacing w:beforeLines="0" w:afterLines="0" w:line="600" w:lineRule="exact"/>
        <w:ind w:right="0" w:firstLine="640"/>
        <w:outlineLvl w:val="9"/>
        <w:rPr>
          <w:rFonts w:hint="eastAsia" w:ascii="仿宋" w:hAnsi="仿宋" w:eastAsia="仿宋" w:cs="仿宋"/>
          <w:b w:val="0"/>
          <w:color w:val="auto"/>
          <w:kern w:val="0"/>
          <w:sz w:val="32"/>
        </w:rPr>
      </w:pPr>
      <w:r>
        <w:rPr>
          <w:rFonts w:hint="eastAsia" w:ascii="仿宋" w:hAnsi="仿宋" w:eastAsia="仿宋" w:cs="仿宋"/>
          <w:b w:val="0"/>
          <w:color w:val="auto"/>
          <w:kern w:val="0"/>
          <w:sz w:val="32"/>
        </w:rPr>
        <w:t>决定集团公司5万元（含）以上的招商引资、产业引进、生态建设和环境保护等项目安排及变更事项；</w:t>
      </w:r>
    </w:p>
    <w:p w14:paraId="776B2BB4">
      <w:pPr>
        <w:pStyle w:val="5"/>
        <w:numPr>
          <w:ilvl w:val="0"/>
          <w:numId w:val="2"/>
        </w:numPr>
        <w:spacing w:beforeLines="0" w:afterLines="0" w:line="600" w:lineRule="exact"/>
        <w:ind w:right="0" w:firstLine="640"/>
        <w:outlineLvl w:val="9"/>
        <w:rPr>
          <w:rFonts w:hint="eastAsia" w:ascii="仿宋" w:hAnsi="仿宋" w:eastAsia="仿宋" w:cs="仿宋"/>
          <w:b w:val="0"/>
          <w:color w:val="auto"/>
          <w:kern w:val="0"/>
          <w:sz w:val="32"/>
        </w:rPr>
      </w:pPr>
      <w:r>
        <w:rPr>
          <w:rFonts w:hint="eastAsia" w:ascii="仿宋" w:hAnsi="仿宋" w:eastAsia="仿宋" w:cs="仿宋"/>
          <w:b w:val="0"/>
          <w:color w:val="auto"/>
          <w:kern w:val="0"/>
          <w:sz w:val="32"/>
        </w:rPr>
        <w:t>决定集团公司重大投资项目的实施方案；</w:t>
      </w:r>
    </w:p>
    <w:p w14:paraId="32AEEDAE">
      <w:pPr>
        <w:pStyle w:val="5"/>
        <w:numPr>
          <w:ilvl w:val="0"/>
          <w:numId w:val="2"/>
        </w:numPr>
        <w:spacing w:beforeLines="0" w:afterLines="0" w:line="600" w:lineRule="exact"/>
        <w:ind w:right="0" w:firstLine="640"/>
        <w:outlineLvl w:val="9"/>
        <w:rPr>
          <w:rFonts w:hint="eastAsia" w:ascii="仿宋" w:hAnsi="仿宋" w:eastAsia="仿宋" w:cs="仿宋"/>
          <w:b w:val="0"/>
          <w:color w:val="auto"/>
          <w:kern w:val="0"/>
          <w:sz w:val="32"/>
        </w:rPr>
      </w:pPr>
      <w:r>
        <w:rPr>
          <w:rFonts w:hint="eastAsia" w:ascii="仿宋" w:hAnsi="仿宋" w:eastAsia="仿宋" w:cs="仿宋"/>
          <w:b w:val="0"/>
          <w:bCs/>
          <w:color w:val="auto"/>
          <w:sz w:val="32"/>
        </w:rPr>
        <w:t>决定集团公司融资方案；</w:t>
      </w:r>
    </w:p>
    <w:p w14:paraId="3BABF283">
      <w:pPr>
        <w:pStyle w:val="5"/>
        <w:numPr>
          <w:ilvl w:val="0"/>
          <w:numId w:val="2"/>
        </w:numPr>
        <w:spacing w:beforeLines="0" w:afterLines="0" w:line="600" w:lineRule="exact"/>
        <w:ind w:right="0" w:firstLine="640"/>
        <w:outlineLvl w:val="9"/>
        <w:rPr>
          <w:rFonts w:hint="eastAsia" w:ascii="仿宋" w:hAnsi="仿宋" w:eastAsia="仿宋" w:cs="仿宋"/>
          <w:b w:val="0"/>
          <w:color w:val="auto"/>
          <w:kern w:val="0"/>
          <w:sz w:val="32"/>
        </w:rPr>
      </w:pPr>
      <w:r>
        <w:rPr>
          <w:rFonts w:hint="eastAsia" w:ascii="仿宋" w:hAnsi="仿宋" w:eastAsia="仿宋" w:cs="仿宋"/>
          <w:b w:val="0"/>
          <w:color w:val="auto"/>
          <w:kern w:val="0"/>
          <w:sz w:val="32"/>
        </w:rPr>
        <w:t>其它需董事会集体研究决定的事项。</w:t>
      </w:r>
    </w:p>
    <w:p w14:paraId="5788FA2C">
      <w:pPr>
        <w:pStyle w:val="5"/>
        <w:spacing w:beforeLines="0" w:afterLines="0" w:line="600" w:lineRule="exact"/>
        <w:ind w:left="397" w:right="0"/>
        <w:outlineLvl w:val="9"/>
        <w:rPr>
          <w:rFonts w:hint="eastAsia" w:ascii="楷体" w:hAnsi="楷体" w:eastAsia="楷体" w:cs="楷体"/>
          <w:b w:val="0"/>
          <w:bCs/>
          <w:color w:val="auto"/>
          <w:sz w:val="32"/>
        </w:rPr>
      </w:pPr>
      <w:r>
        <w:rPr>
          <w:rFonts w:hint="eastAsia" w:ascii="楷体" w:hAnsi="楷体" w:eastAsia="楷体" w:cs="楷体"/>
          <w:b w:val="0"/>
          <w:bCs/>
          <w:color w:val="auto"/>
          <w:sz w:val="32"/>
        </w:rPr>
        <w:t>（四）大额资金使用事项</w:t>
      </w:r>
    </w:p>
    <w:p w14:paraId="215CF5F9">
      <w:pPr>
        <w:pStyle w:val="5"/>
        <w:spacing w:beforeLines="0" w:afterLines="0" w:line="600" w:lineRule="exact"/>
        <w:ind w:right="0" w:firstLine="640" w:firstLineChars="200"/>
        <w:outlineLvl w:val="9"/>
        <w:rPr>
          <w:rFonts w:hint="eastAsia" w:ascii="仿宋" w:hAnsi="仿宋" w:eastAsia="仿宋" w:cs="仿宋"/>
          <w:b w:val="0"/>
          <w:color w:val="auto"/>
          <w:sz w:val="32"/>
        </w:rPr>
      </w:pPr>
      <w:r>
        <w:rPr>
          <w:rFonts w:hint="eastAsia" w:ascii="仿宋" w:hAnsi="仿宋" w:eastAsia="仿宋" w:cs="仿宋"/>
          <w:b w:val="0"/>
          <w:color w:val="auto"/>
          <w:sz w:val="32"/>
        </w:rPr>
        <w:t>1.决定集团年度财务预算方案、年度预算调整及财务决算报告；</w:t>
      </w:r>
    </w:p>
    <w:p w14:paraId="1C7458FD">
      <w:pPr>
        <w:pStyle w:val="5"/>
        <w:spacing w:beforeLines="0" w:afterLines="0" w:line="600" w:lineRule="exact"/>
        <w:ind w:right="0" w:firstLine="640" w:firstLineChars="200"/>
        <w:outlineLvl w:val="9"/>
        <w:rPr>
          <w:rFonts w:hint="eastAsia" w:ascii="仿宋" w:hAnsi="仿宋" w:eastAsia="仿宋" w:cs="仿宋"/>
          <w:b w:val="0"/>
          <w:color w:val="auto"/>
          <w:sz w:val="32"/>
        </w:rPr>
      </w:pPr>
      <w:r>
        <w:rPr>
          <w:rFonts w:hint="eastAsia" w:ascii="仿宋" w:hAnsi="仿宋" w:eastAsia="仿宋" w:cs="仿宋"/>
          <w:b w:val="0"/>
          <w:color w:val="auto"/>
          <w:sz w:val="32"/>
        </w:rPr>
        <w:t xml:space="preserve">2. </w:t>
      </w:r>
      <w:r>
        <w:rPr>
          <w:rFonts w:hint="eastAsia" w:ascii="仿宋" w:hAnsi="仿宋" w:eastAsia="仿宋" w:cs="仿宋"/>
          <w:b w:val="0"/>
          <w:bCs/>
          <w:color w:val="auto"/>
          <w:kern w:val="0"/>
          <w:sz w:val="32"/>
        </w:rPr>
        <w:t>*</w:t>
      </w:r>
      <w:r>
        <w:rPr>
          <w:rFonts w:hint="eastAsia" w:ascii="仿宋" w:hAnsi="仿宋" w:eastAsia="仿宋" w:cs="仿宋"/>
          <w:b w:val="0"/>
          <w:color w:val="auto"/>
          <w:kern w:val="0"/>
          <w:sz w:val="32"/>
        </w:rPr>
        <w:t>制订</w:t>
      </w:r>
      <w:r>
        <w:rPr>
          <w:rFonts w:hint="eastAsia" w:ascii="仿宋" w:hAnsi="仿宋" w:eastAsia="仿宋" w:cs="仿宋"/>
          <w:b w:val="0"/>
          <w:color w:val="auto"/>
          <w:sz w:val="32"/>
        </w:rPr>
        <w:t>集团公司利润分配方案及弥补亏损方案；决定所属全资、控股企业利润分配方案及弥补亏损方案；</w:t>
      </w:r>
    </w:p>
    <w:p w14:paraId="7D604282">
      <w:pPr>
        <w:pStyle w:val="5"/>
        <w:spacing w:beforeLines="0" w:afterLines="0" w:line="600" w:lineRule="exact"/>
        <w:ind w:right="0" w:firstLine="640" w:firstLineChars="200"/>
        <w:outlineLvl w:val="9"/>
        <w:rPr>
          <w:rFonts w:hint="eastAsia" w:ascii="仿宋" w:hAnsi="仿宋" w:eastAsia="仿宋" w:cs="仿宋"/>
          <w:b w:val="0"/>
          <w:color w:val="auto"/>
          <w:sz w:val="32"/>
        </w:rPr>
      </w:pPr>
      <w:r>
        <w:rPr>
          <w:rFonts w:hint="eastAsia" w:ascii="仿宋" w:hAnsi="仿宋" w:eastAsia="仿宋" w:cs="仿宋"/>
          <w:b w:val="0"/>
          <w:color w:val="auto"/>
          <w:sz w:val="32"/>
        </w:rPr>
        <w:t>3.决定集团公司</w:t>
      </w:r>
      <w:r>
        <w:rPr>
          <w:rFonts w:hint="eastAsia" w:ascii="仿宋" w:hAnsi="仿宋" w:eastAsia="仿宋" w:cs="仿宋"/>
          <w:b w:val="0"/>
          <w:color w:val="auto"/>
          <w:kern w:val="0"/>
          <w:sz w:val="32"/>
        </w:rPr>
        <w:t>及</w:t>
      </w:r>
      <w:r>
        <w:rPr>
          <w:rFonts w:hint="eastAsia" w:ascii="仿宋" w:hAnsi="仿宋" w:eastAsia="仿宋" w:cs="仿宋"/>
          <w:b w:val="0"/>
          <w:color w:val="auto"/>
          <w:sz w:val="32"/>
        </w:rPr>
        <w:t>所属全资、控股企业资产抵押、质押、对外担保及资产原值100万元以上资产处置出租等事项；</w:t>
      </w:r>
    </w:p>
    <w:p w14:paraId="4BB7CD1C">
      <w:pPr>
        <w:pStyle w:val="5"/>
        <w:spacing w:beforeLines="0" w:afterLines="0" w:line="600" w:lineRule="exact"/>
        <w:ind w:right="0" w:firstLine="640" w:firstLineChars="200"/>
        <w:outlineLvl w:val="9"/>
        <w:rPr>
          <w:rFonts w:hint="eastAsia" w:ascii="仿宋" w:hAnsi="仿宋" w:eastAsia="仿宋" w:cs="仿宋"/>
          <w:b w:val="0"/>
          <w:color w:val="auto"/>
          <w:sz w:val="32"/>
        </w:rPr>
      </w:pPr>
      <w:r>
        <w:rPr>
          <w:rFonts w:hint="eastAsia" w:ascii="仿宋" w:hAnsi="仿宋" w:eastAsia="仿宋" w:cs="仿宋"/>
          <w:b w:val="0"/>
          <w:color w:val="auto"/>
          <w:sz w:val="32"/>
        </w:rPr>
        <w:t>4.决定集团公司100万元（含）以上支援、捐赠、赞助（款、物）等事项；</w:t>
      </w:r>
    </w:p>
    <w:p w14:paraId="70C02EEC">
      <w:pPr>
        <w:pStyle w:val="5"/>
        <w:spacing w:beforeLines="0" w:afterLines="0" w:line="600" w:lineRule="exact"/>
        <w:ind w:right="0" w:firstLine="640" w:firstLineChars="200"/>
        <w:outlineLvl w:val="9"/>
        <w:rPr>
          <w:rFonts w:hint="eastAsia" w:ascii="仿宋" w:hAnsi="仿宋" w:eastAsia="仿宋" w:cs="仿宋"/>
          <w:b w:val="0"/>
          <w:color w:val="auto"/>
          <w:sz w:val="32"/>
        </w:rPr>
      </w:pPr>
      <w:r>
        <w:rPr>
          <w:rFonts w:hint="eastAsia" w:ascii="仿宋" w:hAnsi="仿宋" w:eastAsia="仿宋" w:cs="仿宋"/>
          <w:b w:val="0"/>
          <w:color w:val="auto"/>
          <w:sz w:val="32"/>
        </w:rPr>
        <w:t>5.决定集团公司</w:t>
      </w:r>
      <w:r>
        <w:rPr>
          <w:rFonts w:hint="eastAsia" w:ascii="仿宋" w:hAnsi="仿宋" w:eastAsia="仿宋" w:cs="仿宋"/>
          <w:b w:val="0"/>
          <w:color w:val="auto"/>
          <w:kern w:val="0"/>
          <w:sz w:val="32"/>
        </w:rPr>
        <w:t>及</w:t>
      </w:r>
      <w:r>
        <w:rPr>
          <w:rFonts w:hint="eastAsia" w:ascii="仿宋" w:hAnsi="仿宋" w:eastAsia="仿宋" w:cs="仿宋"/>
          <w:b w:val="0"/>
          <w:color w:val="auto"/>
          <w:sz w:val="32"/>
        </w:rPr>
        <w:t>所属全资、控股企业5万（含）以上的预算外资金支付；</w:t>
      </w:r>
    </w:p>
    <w:p w14:paraId="75CE947A">
      <w:pPr>
        <w:pStyle w:val="5"/>
        <w:spacing w:beforeLines="0" w:afterLines="0" w:line="600" w:lineRule="exact"/>
        <w:ind w:right="0" w:firstLine="640" w:firstLineChars="200"/>
        <w:outlineLvl w:val="9"/>
        <w:rPr>
          <w:rFonts w:hint="eastAsia" w:ascii="仿宋" w:hAnsi="仿宋" w:eastAsia="仿宋" w:cs="仿宋"/>
          <w:b w:val="0"/>
          <w:color w:val="auto"/>
          <w:sz w:val="32"/>
        </w:rPr>
      </w:pPr>
      <w:r>
        <w:rPr>
          <w:rFonts w:hint="eastAsia" w:ascii="仿宋" w:hAnsi="仿宋" w:eastAsia="仿宋" w:cs="仿宋"/>
          <w:b w:val="0"/>
          <w:color w:val="auto"/>
          <w:sz w:val="32"/>
        </w:rPr>
        <w:t>6.其它需董事会集体研究决定的事项。</w:t>
      </w:r>
    </w:p>
    <w:p w14:paraId="5975BEE3">
      <w:pPr>
        <w:spacing w:line="600" w:lineRule="exact"/>
        <w:ind w:firstLine="640" w:firstLineChars="200"/>
        <w:rPr>
          <w:rFonts w:hint="eastAsia" w:ascii="仿宋_GB2312" w:hAnsi="仿宋_GB2312" w:eastAsia="仿宋_GB2312" w:cs="仿宋_GB2312"/>
          <w:color w:val="auto"/>
          <w:kern w:val="0"/>
          <w:sz w:val="32"/>
          <w:szCs w:val="32"/>
        </w:rPr>
      </w:pPr>
      <w:r>
        <w:rPr>
          <w:rFonts w:hint="eastAsia" w:ascii="仿宋" w:hAnsi="仿宋" w:eastAsia="仿宋" w:cs="仿宋"/>
          <w:color w:val="auto"/>
          <w:kern w:val="0"/>
          <w:sz w:val="32"/>
          <w:szCs w:val="32"/>
        </w:rPr>
        <w:t>本条带“*”所列事项需报请国资委批准或决定。</w:t>
      </w: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bCs/>
          <w:color w:val="auto"/>
          <w:sz w:val="32"/>
          <w:szCs w:val="32"/>
        </w:rPr>
        <w:t xml:space="preserve">    </w:t>
      </w:r>
    </w:p>
    <w:p w14:paraId="256D0655">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_GB2312" w:hAnsi="仿宋_GB2312" w:eastAsia="仿宋_GB2312" w:cs="仿宋_GB2312"/>
          <w:bCs/>
          <w:color w:val="auto"/>
          <w:sz w:val="32"/>
          <w:szCs w:val="32"/>
        </w:rPr>
        <w:t xml:space="preserve"> </w:t>
      </w:r>
      <w:r>
        <w:rPr>
          <w:rFonts w:hint="eastAsia" w:ascii="仿宋" w:hAnsi="仿宋" w:eastAsia="仿宋" w:cs="仿宋"/>
          <w:bCs/>
          <w:color w:val="auto"/>
          <w:sz w:val="32"/>
          <w:szCs w:val="32"/>
        </w:rPr>
        <w:t>董事会以会议的方式行使职权。董事会对公司重大事项实行集体决策，除出资人特别授权，凡本《规则》第八条所确定的职权，必须以董事会会议的方式进行决策。</w:t>
      </w:r>
    </w:p>
    <w:p w14:paraId="7E260795">
      <w:pPr>
        <w:spacing w:before="312" w:beforeLines="100" w:after="312" w:afterLines="100" w:line="600" w:lineRule="exact"/>
        <w:jc w:val="center"/>
        <w:rPr>
          <w:rFonts w:hint="eastAsia" w:ascii="黑体" w:hAnsi="黑体" w:eastAsia="黑体" w:cs="黑体"/>
          <w:bCs/>
          <w:color w:val="auto"/>
          <w:sz w:val="32"/>
          <w:szCs w:val="32"/>
        </w:rPr>
      </w:pPr>
      <w:r>
        <w:rPr>
          <w:rFonts w:hint="eastAsia" w:ascii="黑体" w:hAnsi="黑体" w:eastAsia="黑体" w:cs="黑体"/>
          <w:bCs/>
          <w:color w:val="auto"/>
          <w:sz w:val="32"/>
          <w:szCs w:val="32"/>
        </w:rPr>
        <w:t>第三章 董事会会议的召集和主持</w:t>
      </w:r>
    </w:p>
    <w:p w14:paraId="6B54B72E">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董事会会议由董事长召集并主持。董事长因故不能履行职务的，由副董事长履行；副董事长不能履行职务的，由董事长指定其他董事或者由国资委指定的董事履行。</w:t>
      </w:r>
    </w:p>
    <w:p w14:paraId="09D17E49">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董事会会议分为定期会议和临时会议。</w:t>
      </w:r>
    </w:p>
    <w:p w14:paraId="23F029B4">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董事会定期会议每年不少于2次。在会议召开前10个工作日内向各董事送达会议通知。董事会会议通知应当至少包括以下内容：会议的时间、地点、发出通知的日期、详细议案。</w:t>
      </w:r>
    </w:p>
    <w:p w14:paraId="6D5DA7D5">
      <w:pPr>
        <w:spacing w:line="600" w:lineRule="exact"/>
        <w:ind w:firstLine="640" w:firstLineChars="200"/>
        <w:rPr>
          <w:rFonts w:hint="eastAsia" w:ascii="仿宋_GB2312" w:hAnsi="仿宋_GB2312" w:eastAsia="仿宋_GB2312" w:cs="仿宋_GB2312"/>
          <w:color w:val="auto"/>
          <w:sz w:val="32"/>
          <w:szCs w:val="32"/>
        </w:rPr>
      </w:pPr>
      <w:r>
        <w:rPr>
          <w:rFonts w:hint="eastAsia" w:ascii="仿宋" w:hAnsi="仿宋" w:eastAsia="仿宋" w:cs="仿宋"/>
          <w:bCs/>
          <w:color w:val="auto"/>
          <w:sz w:val="32"/>
          <w:szCs w:val="32"/>
        </w:rPr>
        <w:t>董事会的临时会议，可在必要时召开，</w:t>
      </w:r>
      <w:r>
        <w:rPr>
          <w:rFonts w:hint="eastAsia" w:ascii="仿宋" w:hAnsi="仿宋" w:eastAsia="仿宋" w:cs="仿宋"/>
          <w:color w:val="auto"/>
          <w:sz w:val="32"/>
          <w:szCs w:val="32"/>
        </w:rPr>
        <w:t>如涉及公司紧急事务或重要、重大决议事项，可以不受前述规定时间的限制，但应当在会议召开前合理的时间内将会议有关事项通知与会人员。有下列情形之一的，应召开董事会临时会议：</w:t>
      </w:r>
      <w:r>
        <w:rPr>
          <w:rFonts w:hint="eastAsia" w:ascii="仿宋_GB2312" w:hAnsi="仿宋_GB2312" w:eastAsia="仿宋_GB2312" w:cs="仿宋_GB2312"/>
          <w:color w:val="auto"/>
          <w:sz w:val="32"/>
          <w:szCs w:val="32"/>
        </w:rPr>
        <w:t xml:space="preserve"> </w:t>
      </w:r>
    </w:p>
    <w:p w14:paraId="39B6E28E">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（一）董事长认为必要时； </w:t>
      </w:r>
    </w:p>
    <w:p w14:paraId="2312D601">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kern w:val="0"/>
          <w:sz w:val="32"/>
          <w:szCs w:val="32"/>
        </w:rPr>
        <w:t>市国资委</w:t>
      </w:r>
      <w:r>
        <w:rPr>
          <w:rFonts w:hint="eastAsia" w:ascii="仿宋" w:hAnsi="仿宋" w:eastAsia="仿宋" w:cs="仿宋"/>
          <w:color w:val="auto"/>
          <w:sz w:val="32"/>
          <w:szCs w:val="32"/>
        </w:rPr>
        <w:t>认为必要时；</w:t>
      </w:r>
    </w:p>
    <w:p w14:paraId="5E3374D7">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（三）三分之一以上董事提议或同意时；</w:t>
      </w:r>
    </w:p>
    <w:p w14:paraId="08C536A4">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（四）监事</w:t>
      </w:r>
      <w:r>
        <w:rPr>
          <w:rFonts w:hint="eastAsia" w:ascii="仿宋" w:hAnsi="仿宋" w:eastAsia="仿宋" w:cs="仿宋"/>
          <w:color w:val="auto"/>
          <w:kern w:val="0"/>
          <w:sz w:val="32"/>
          <w:szCs w:val="32"/>
        </w:rPr>
        <w:t>会</w:t>
      </w:r>
      <w:r>
        <w:rPr>
          <w:rFonts w:hint="eastAsia" w:ascii="仿宋" w:hAnsi="仿宋" w:eastAsia="仿宋" w:cs="仿宋"/>
          <w:color w:val="auto"/>
          <w:sz w:val="32"/>
          <w:szCs w:val="32"/>
        </w:rPr>
        <w:t>提议时。</w:t>
      </w:r>
    </w:p>
    <w:p w14:paraId="03C894C8">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Cs/>
          <w:color w:val="auto"/>
          <w:sz w:val="32"/>
          <w:szCs w:val="32"/>
        </w:rPr>
      </w:pPr>
      <w:r>
        <w:rPr>
          <w:rFonts w:hint="eastAsia" w:ascii="仿宋" w:hAnsi="仿宋" w:eastAsia="仿宋" w:cs="仿宋"/>
          <w:bCs/>
          <w:color w:val="auto"/>
          <w:sz w:val="32"/>
          <w:szCs w:val="32"/>
        </w:rPr>
        <w:t>董事会一般应以现场会议的形式召开。遇特殊情况，在保证董事能够充分发表意见的前提下，经董事长同意，可采取电话会议、会议材料传签等方式开会并作出决议，并在会议材料中注明。</w:t>
      </w:r>
      <w:r>
        <w:rPr>
          <w:rFonts w:hint="eastAsia" w:ascii="仿宋_GB2312" w:hAnsi="仿宋_GB2312" w:eastAsia="仿宋_GB2312" w:cs="仿宋_GB2312"/>
          <w:bCs/>
          <w:color w:val="auto"/>
          <w:sz w:val="32"/>
          <w:szCs w:val="32"/>
        </w:rPr>
        <w:t xml:space="preserve"> </w:t>
      </w:r>
    </w:p>
    <w:p w14:paraId="2684C62D">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董事应当认真阅读有关会议材料，在充分了解情况的基础上独立、审慎地发表意见。</w:t>
      </w:r>
    </w:p>
    <w:p w14:paraId="54B2D106">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董事会会议应有过半数的董事出席方可举行。决策属于特别决议事项时，须有三分之二以上董事出席方可举行。</w:t>
      </w:r>
    </w:p>
    <w:p w14:paraId="58974212">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董事应当亲自出席董事会会议。因故不能出席会议的，应当事先审阅会议材料，形成明确的意见，书面委托其他董事代为出席。</w:t>
      </w:r>
    </w:p>
    <w:p w14:paraId="464E2ADF">
      <w:pPr>
        <w:pStyle w:val="2"/>
        <w:spacing w:before="0" w:beforeAutospacing="0" w:after="0" w:afterAutospacing="0" w:line="600" w:lineRule="exact"/>
        <w:ind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委托书应当载明代理人的姓名、委托人不能出席会议的原因、委托人对每项提案的简要意见（如有）、代理事项、权限和有效期限，并由委托人签名或盖章。代为出席会议的董事应当在授权范围内行使董事的权利。</w:t>
      </w:r>
    </w:p>
    <w:p w14:paraId="180D2C66">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bCs/>
          <w:color w:val="auto"/>
          <w:sz w:val="32"/>
          <w:szCs w:val="32"/>
        </w:rPr>
        <w:t>董事未出席董事会会议，亦未委托代表出席的，视为放弃在该次会议上的表决权。</w:t>
      </w:r>
    </w:p>
    <w:p w14:paraId="5D1FEBDF">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通过电话会议等方式或签署书面决议方式参加董事会会议的，视作亲自出席会议。</w:t>
      </w:r>
    </w:p>
    <w:p w14:paraId="40CEA51B">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董事连续3次未亲自出席董事会会议也未委托其他董事代为出席，或者在一年内未出席董事会会议占董事会所开会议二分之一以上的，视为不能履行董事职责，董事会有权提请国资委予以解聘。</w:t>
      </w:r>
    </w:p>
    <w:p w14:paraId="2B704655">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非董事的总经理应当列席董事会会议；监事必要时可以列席董事会会议。会议主持人认为有必要的，可以通知其他有关人员列席董事会会议。</w:t>
      </w:r>
    </w:p>
    <w:p w14:paraId="53E97CF4">
      <w:pPr>
        <w:pStyle w:val="2"/>
        <w:spacing w:before="0" w:beforeAutospacing="0" w:after="0" w:afterAutospacing="0" w:line="600" w:lineRule="exact"/>
        <w:ind w:firstLine="640" w:firstLineChars="200"/>
        <w:jc w:val="both"/>
        <w:rPr>
          <w:rFonts w:hint="eastAsia" w:ascii="仿宋_GB2312" w:hAnsi="仿宋_GB2312" w:eastAsia="仿宋_GB2312" w:cs="仿宋_GB2312"/>
          <w:bCs/>
          <w:color w:val="auto"/>
          <w:sz w:val="32"/>
          <w:szCs w:val="32"/>
        </w:rPr>
      </w:pPr>
      <w:r>
        <w:rPr>
          <w:rFonts w:hint="eastAsia" w:ascii="仿宋" w:hAnsi="仿宋" w:eastAsia="仿宋" w:cs="仿宋"/>
          <w:bCs/>
          <w:color w:val="auto"/>
          <w:sz w:val="32"/>
          <w:szCs w:val="32"/>
        </w:rPr>
        <w:t>列席会议人员有权就相关议题发表意见，但没有投票表决权。</w:t>
      </w:r>
    </w:p>
    <w:p w14:paraId="66F2E67C">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董事会会议的议程与议案由董事会办公室初审，董事长确定。</w:t>
      </w:r>
    </w:p>
    <w:p w14:paraId="46C05FAD">
      <w:pPr>
        <w:spacing w:line="600" w:lineRule="exact"/>
        <w:ind w:firstLine="640" w:firstLineChars="200"/>
        <w:rPr>
          <w:rFonts w:hint="eastAsia" w:ascii="仿宋" w:hAnsi="仿宋" w:eastAsia="仿宋" w:cs="仿宋"/>
          <w:b/>
          <w:bCs/>
          <w:color w:val="auto"/>
          <w:sz w:val="32"/>
          <w:szCs w:val="32"/>
        </w:rPr>
      </w:pPr>
      <w:r>
        <w:rPr>
          <w:rFonts w:hint="eastAsia" w:ascii="仿宋" w:hAnsi="仿宋" w:eastAsia="仿宋" w:cs="仿宋"/>
          <w:bCs/>
          <w:color w:val="auto"/>
          <w:sz w:val="32"/>
          <w:szCs w:val="32"/>
        </w:rPr>
        <w:t>提交董事会的议案，应当保证提供足够的资料，包括相关背景资料和有助于董事理解的相关信息和数据。</w:t>
      </w:r>
    </w:p>
    <w:p w14:paraId="1E699B59">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除事先确定的议案以外，董事在董事会会议期间临时提出议案的，由董事长决定是否加入会议议程。如决定列入议程的，应当参照本规则第二十条第二款的规定。</w:t>
      </w:r>
    </w:p>
    <w:p w14:paraId="024C3762">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当半数以上董事认为议案材料不充分或论证不明确时，可联名提出缓议有关议题，董事会应予以采纳。</w:t>
      </w:r>
    </w:p>
    <w:p w14:paraId="3A824764">
      <w:pPr>
        <w:spacing w:before="312" w:beforeLines="100" w:after="312" w:afterLines="100" w:line="600" w:lineRule="exact"/>
        <w:jc w:val="center"/>
        <w:rPr>
          <w:rFonts w:hint="eastAsia" w:ascii="黑体" w:hAnsi="黑体" w:eastAsia="黑体" w:cs="黑体"/>
          <w:bCs/>
          <w:color w:val="auto"/>
          <w:sz w:val="32"/>
          <w:szCs w:val="32"/>
        </w:rPr>
      </w:pPr>
      <w:r>
        <w:rPr>
          <w:rFonts w:hint="eastAsia" w:ascii="黑体" w:hAnsi="黑体" w:eastAsia="黑体" w:cs="黑体"/>
          <w:bCs/>
          <w:color w:val="auto"/>
          <w:sz w:val="32"/>
          <w:szCs w:val="32"/>
        </w:rPr>
        <w:t>第四章 董事会会议的议事方式和表决程序</w:t>
      </w:r>
    </w:p>
    <w:p w14:paraId="5BB41C76">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bCs/>
          <w:color w:val="auto"/>
          <w:sz w:val="32"/>
          <w:szCs w:val="32"/>
        </w:rPr>
        <w:t>董事会决议表决方式为投票表决，实行一人一票。董事的表决意向分为同意、反对和弃权。与会董事应当从上述意向中选择其一，未做选择或者同时选择两个以上意向的，视为弃权。</w:t>
      </w:r>
    </w:p>
    <w:p w14:paraId="5D982A2E">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Cs/>
          <w:color w:val="auto"/>
          <w:sz w:val="32"/>
          <w:szCs w:val="32"/>
        </w:rPr>
      </w:pPr>
      <w:r>
        <w:rPr>
          <w:rFonts w:hint="eastAsia" w:ascii="仿宋" w:hAnsi="仿宋" w:eastAsia="仿宋" w:cs="仿宋"/>
          <w:bCs/>
          <w:color w:val="auto"/>
          <w:sz w:val="32"/>
          <w:szCs w:val="32"/>
        </w:rPr>
        <w:t>董事会决议分为普通决议和特别决议。董事会通过普通决议时，应经全体董事过半数同意；通过特别决议时，应经全体董事三分之二以上同意。</w:t>
      </w:r>
      <w:r>
        <w:rPr>
          <w:rFonts w:hint="eastAsia" w:ascii="仿宋_GB2312" w:hAnsi="仿宋_GB2312" w:eastAsia="仿宋_GB2312" w:cs="仿宋_GB2312"/>
          <w:bCs/>
          <w:color w:val="auto"/>
          <w:sz w:val="32"/>
          <w:szCs w:val="32"/>
        </w:rPr>
        <w:t xml:space="preserve"> </w:t>
      </w:r>
    </w:p>
    <w:p w14:paraId="5F16BA4E">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董事会审议本《规则》第五条带“*”所列事项时，应以特别决议方式通过。</w:t>
      </w:r>
    </w:p>
    <w:p w14:paraId="0083BD7D">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董事会应当对所议事项的决定做成会议决议和会议记录。</w:t>
      </w:r>
    </w:p>
    <w:p w14:paraId="69A22279">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董事会会议决议包括以下内容：</w:t>
      </w:r>
    </w:p>
    <w:p w14:paraId="3AD13E38">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（一）</w:t>
      </w:r>
      <w:r>
        <w:rPr>
          <w:rFonts w:hint="eastAsia" w:ascii="仿宋" w:hAnsi="仿宋" w:eastAsia="仿宋" w:cs="仿宋"/>
          <w:bCs/>
          <w:color w:val="auto"/>
          <w:sz w:val="32"/>
          <w:szCs w:val="32"/>
        </w:rPr>
        <w:t>会议名称及召开的日期、地点；</w:t>
      </w:r>
    </w:p>
    <w:p w14:paraId="37340A2F">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（二）</w:t>
      </w:r>
      <w:r>
        <w:rPr>
          <w:rFonts w:hint="eastAsia" w:ascii="仿宋" w:hAnsi="仿宋" w:eastAsia="仿宋" w:cs="仿宋"/>
          <w:bCs/>
          <w:color w:val="auto"/>
          <w:sz w:val="32"/>
          <w:szCs w:val="32"/>
        </w:rPr>
        <w:t>出席、列席会议的人员姓名及应到和实到人员情况；</w:t>
      </w:r>
    </w:p>
    <w:p w14:paraId="61E9559C">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（三）</w:t>
      </w:r>
      <w:r>
        <w:rPr>
          <w:rFonts w:hint="eastAsia" w:ascii="仿宋" w:hAnsi="仿宋" w:eastAsia="仿宋" w:cs="仿宋"/>
          <w:bCs/>
          <w:color w:val="auto"/>
          <w:sz w:val="32"/>
          <w:szCs w:val="32"/>
        </w:rPr>
        <w:t>审议议案的名称、达成的意见及对议案的表决结果（结果应载明赞成、反对或弃权的票数）；</w:t>
      </w:r>
    </w:p>
    <w:p w14:paraId="428A3664">
      <w:pPr>
        <w:spacing w:line="600" w:lineRule="exact"/>
        <w:ind w:firstLine="640" w:firstLineChars="200"/>
        <w:rPr>
          <w:rFonts w:hint="eastAsia" w:ascii="仿宋_GB2312" w:hAnsi="仿宋_GB2312" w:eastAsia="仿宋_GB2312" w:cs="仿宋_GB2312"/>
          <w:bCs/>
          <w:color w:val="auto"/>
          <w:sz w:val="32"/>
          <w:szCs w:val="32"/>
        </w:rPr>
      </w:pPr>
      <w:r>
        <w:rPr>
          <w:rFonts w:hint="eastAsia" w:ascii="仿宋" w:hAnsi="仿宋" w:eastAsia="仿宋" w:cs="仿宋"/>
          <w:color w:val="auto"/>
          <w:sz w:val="32"/>
          <w:szCs w:val="32"/>
        </w:rPr>
        <w:t>（四）</w:t>
      </w:r>
      <w:r>
        <w:rPr>
          <w:rFonts w:hint="eastAsia" w:ascii="仿宋" w:hAnsi="仿宋" w:eastAsia="仿宋" w:cs="仿宋"/>
          <w:bCs/>
          <w:color w:val="auto"/>
          <w:sz w:val="32"/>
          <w:szCs w:val="32"/>
        </w:rPr>
        <w:t>各董事签字。</w:t>
      </w:r>
    </w:p>
    <w:p w14:paraId="540BFB50">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董事会会议记录包括以下内容：</w:t>
      </w:r>
    </w:p>
    <w:p w14:paraId="156FAD86">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（一）会议名称及召开的日期、地点；</w:t>
      </w:r>
      <w:r>
        <w:rPr>
          <w:rFonts w:hint="eastAsia" w:ascii="仿宋" w:hAnsi="仿宋" w:eastAsia="仿宋" w:cs="仿宋"/>
          <w:bCs/>
          <w:color w:val="auto"/>
          <w:sz w:val="32"/>
          <w:szCs w:val="32"/>
        </w:rPr>
        <w:t xml:space="preserve"> </w:t>
      </w:r>
    </w:p>
    <w:p w14:paraId="362F17E3">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（二）</w:t>
      </w:r>
      <w:r>
        <w:rPr>
          <w:rFonts w:hint="eastAsia" w:ascii="仿宋" w:hAnsi="仿宋" w:eastAsia="仿宋" w:cs="仿宋"/>
          <w:bCs/>
          <w:color w:val="auto"/>
          <w:sz w:val="32"/>
          <w:szCs w:val="32"/>
        </w:rPr>
        <w:t>出席、列席会议的人员姓名及应到和实到人员情况，会议主持人、记录人姓名。采取电话会议等特殊形式召开的会议，应进行必要的说明；</w:t>
      </w:r>
    </w:p>
    <w:p w14:paraId="01EA103F">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（三）</w:t>
      </w:r>
      <w:r>
        <w:rPr>
          <w:rFonts w:hint="eastAsia" w:ascii="仿宋" w:hAnsi="仿宋" w:eastAsia="仿宋" w:cs="仿宋"/>
          <w:bCs/>
          <w:color w:val="auto"/>
          <w:sz w:val="32"/>
          <w:szCs w:val="32"/>
        </w:rPr>
        <w:t>会议议程：各董事对各议案的发言要点、对各议案的表决结果（结果应载明赞成、反对或弃权的票数）。对会议召开期间增加、否决或变更的议案要有明确提示；</w:t>
      </w:r>
    </w:p>
    <w:p w14:paraId="40BAD231">
      <w:pPr>
        <w:spacing w:line="600" w:lineRule="exact"/>
        <w:ind w:firstLine="640" w:firstLineChars="200"/>
        <w:rPr>
          <w:rFonts w:hint="eastAsia" w:ascii="仿宋" w:hAnsi="仿宋" w:eastAsia="仿宋" w:cs="仿宋"/>
          <w:bCs/>
          <w:color w:val="auto"/>
          <w:sz w:val="32"/>
          <w:szCs w:val="32"/>
        </w:rPr>
      </w:pPr>
      <w:r>
        <w:rPr>
          <w:rFonts w:hint="eastAsia" w:ascii="仿宋" w:hAnsi="仿宋" w:eastAsia="仿宋" w:cs="仿宋"/>
          <w:color w:val="auto"/>
          <w:sz w:val="32"/>
          <w:szCs w:val="32"/>
        </w:rPr>
        <w:t>（四）主持人、记录人、</w:t>
      </w:r>
      <w:r>
        <w:rPr>
          <w:rFonts w:hint="eastAsia" w:ascii="仿宋" w:hAnsi="仿宋" w:eastAsia="仿宋" w:cs="仿宋"/>
          <w:bCs/>
          <w:color w:val="auto"/>
          <w:sz w:val="32"/>
          <w:szCs w:val="32"/>
        </w:rPr>
        <w:t>各董事签字。</w:t>
      </w:r>
    </w:p>
    <w:p w14:paraId="7D092DC4">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董事应当在相关会议材料上签名并承担责任。出席会议的董事有权要求在记录上对其在会议上的发言作出说明性记载。董事既不进行签字确认，又不对其不同意见作出书面说明的，视为完全同意会议决议和会议记录的内容。</w:t>
      </w:r>
    </w:p>
    <w:p w14:paraId="2EF4883B">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
          <w:bCs/>
          <w:color w:val="auto"/>
          <w:sz w:val="32"/>
          <w:szCs w:val="32"/>
        </w:rPr>
      </w:pPr>
      <w:r>
        <w:rPr>
          <w:rFonts w:hint="eastAsia" w:ascii="仿宋" w:hAnsi="仿宋" w:eastAsia="仿宋" w:cs="仿宋"/>
          <w:bCs/>
          <w:color w:val="auto"/>
          <w:sz w:val="32"/>
          <w:szCs w:val="32"/>
        </w:rPr>
        <w:t>董事会办公室应在董事会会议召开后3个工作日内将本次会议的相关材料整理完毕。会议材料包括：会议通知、会议议案、会议决议、会议记录及其它必要的材料。董事会会议材料应当完整、真实，以作为日后明确董事责任的重要依据。</w:t>
      </w:r>
    </w:p>
    <w:p w14:paraId="7BAC99D1">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Cs/>
          <w:color w:val="auto"/>
          <w:sz w:val="32"/>
          <w:szCs w:val="32"/>
        </w:rPr>
      </w:pPr>
      <w:r>
        <w:rPr>
          <w:rFonts w:hint="eastAsia" w:ascii="仿宋" w:hAnsi="仿宋" w:eastAsia="仿宋" w:cs="仿宋"/>
          <w:bCs/>
          <w:color w:val="auto"/>
          <w:sz w:val="32"/>
          <w:szCs w:val="32"/>
        </w:rPr>
        <w:t>董事会会议材料作为公司重要档案由董事会办公室保存。保存期限为永久保存。</w:t>
      </w:r>
    </w:p>
    <w:p w14:paraId="53C4B06D">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Cs/>
          <w:color w:val="auto"/>
          <w:sz w:val="32"/>
          <w:szCs w:val="32"/>
        </w:rPr>
      </w:pPr>
      <w:r>
        <w:rPr>
          <w:rFonts w:hint="eastAsia" w:ascii="仿宋" w:hAnsi="仿宋" w:eastAsia="仿宋" w:cs="仿宋"/>
          <w:bCs/>
          <w:color w:val="auto"/>
          <w:sz w:val="32"/>
          <w:szCs w:val="32"/>
        </w:rPr>
        <w:t>董事会决议违反法律、法规或者《章程》，致使公司遭受损失的，参与决议的董事对公司负赔偿责任。但经证明在表决时曾表示异议并记载于会议记录的，该董事可以免除责任。对既未出席会议，又未委托代表出席董事会的董事应视为未表示异议，不免除其责任。</w:t>
      </w:r>
    </w:p>
    <w:p w14:paraId="0476ED0B">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Cs/>
          <w:color w:val="auto"/>
          <w:sz w:val="32"/>
          <w:szCs w:val="32"/>
        </w:rPr>
      </w:pPr>
      <w:r>
        <w:rPr>
          <w:rFonts w:hint="eastAsia" w:ascii="仿宋" w:hAnsi="仿宋" w:eastAsia="仿宋" w:cs="仿宋"/>
          <w:bCs/>
          <w:color w:val="auto"/>
          <w:sz w:val="32"/>
          <w:szCs w:val="32"/>
        </w:rPr>
        <w:t>董事会决议实施过程中，董事会办公室应就决议的实施情况进程跟踪检查，在检查中发现有违决议的事项时，可要求和督促予以纠正，并将检查及纠正情况及时反馈董事长及董事会。</w:t>
      </w:r>
    </w:p>
    <w:p w14:paraId="67C2AD5E">
      <w:pPr>
        <w:spacing w:before="312" w:beforeLines="100" w:after="312" w:afterLines="100" w:line="600" w:lineRule="exact"/>
        <w:jc w:val="center"/>
        <w:rPr>
          <w:rFonts w:hint="eastAsia" w:ascii="黑体" w:hAnsi="黑体" w:eastAsia="黑体" w:cs="黑体"/>
          <w:bCs/>
          <w:color w:val="auto"/>
          <w:sz w:val="32"/>
          <w:szCs w:val="32"/>
        </w:rPr>
      </w:pPr>
      <w:r>
        <w:rPr>
          <w:rFonts w:hint="eastAsia" w:ascii="黑体" w:hAnsi="黑体" w:eastAsia="黑体" w:cs="黑体"/>
          <w:bCs/>
          <w:color w:val="auto"/>
          <w:sz w:val="32"/>
          <w:szCs w:val="32"/>
        </w:rPr>
        <w:t>第五章 附则</w:t>
      </w:r>
    </w:p>
    <w:p w14:paraId="20EE5C56">
      <w:pPr>
        <w:pStyle w:val="2"/>
        <w:numPr>
          <w:ilvl w:val="0"/>
          <w:numId w:val="1"/>
        </w:numPr>
        <w:spacing w:before="0" w:beforeAutospacing="0" w:after="0" w:afterAutospacing="0" w:line="600" w:lineRule="exact"/>
        <w:ind w:left="0" w:firstLine="640" w:firstLineChars="200"/>
        <w:jc w:val="both"/>
        <w:rPr>
          <w:rFonts w:hint="eastAsia" w:ascii="仿宋_GB2312" w:hAnsi="仿宋_GB2312" w:eastAsia="仿宋_GB2312" w:cs="仿宋_GB2312"/>
          <w:bCs/>
          <w:color w:val="auto"/>
          <w:sz w:val="32"/>
          <w:szCs w:val="32"/>
        </w:rPr>
      </w:pPr>
      <w:r>
        <w:rPr>
          <w:rFonts w:hint="eastAsia" w:ascii="仿宋" w:hAnsi="仿宋" w:eastAsia="仿宋" w:cs="仿宋"/>
          <w:bCs/>
          <w:color w:val="auto"/>
          <w:sz w:val="32"/>
          <w:szCs w:val="32"/>
        </w:rPr>
        <w:t>本规则未尽事宜，依据《公司法》等有关法律、行政法规及《章程》办理。</w:t>
      </w:r>
      <w:r>
        <w:rPr>
          <w:rFonts w:hint="eastAsia" w:ascii="仿宋_GB2312" w:hAnsi="仿宋_GB2312" w:eastAsia="仿宋_GB2312" w:cs="仿宋_GB2312"/>
          <w:bCs/>
          <w:color w:val="auto"/>
          <w:sz w:val="32"/>
          <w:szCs w:val="32"/>
        </w:rPr>
        <w:t xml:space="preserve"> </w:t>
      </w:r>
    </w:p>
    <w:p w14:paraId="3347E555">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bCs/>
          <w:color w:val="auto"/>
          <w:sz w:val="32"/>
          <w:szCs w:val="32"/>
        </w:rPr>
      </w:pPr>
      <w:r>
        <w:rPr>
          <w:rFonts w:hint="eastAsia" w:ascii="仿宋" w:hAnsi="仿宋" w:eastAsia="仿宋" w:cs="仿宋"/>
          <w:bCs/>
          <w:color w:val="auto"/>
          <w:sz w:val="32"/>
          <w:szCs w:val="32"/>
        </w:rPr>
        <w:t>本《规则》经公司董事会审议通过后实施，修改时亦同。</w:t>
      </w:r>
    </w:p>
    <w:p w14:paraId="038F241D">
      <w:pPr>
        <w:pStyle w:val="2"/>
        <w:numPr>
          <w:ilvl w:val="0"/>
          <w:numId w:val="1"/>
        </w:numPr>
        <w:spacing w:before="0" w:beforeAutospacing="0" w:after="0" w:afterAutospacing="0" w:line="6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bCs/>
          <w:color w:val="auto"/>
          <w:sz w:val="32"/>
          <w:szCs w:val="32"/>
        </w:rPr>
        <w:t>本《规则》解释权归公司董事会办公室。</w:t>
      </w:r>
    </w:p>
    <w:p w14:paraId="01DEB660">
      <w:pPr>
        <w:pStyle w:val="2"/>
        <w:spacing w:before="0" w:beforeAutospacing="0" w:after="0" w:afterAutospacing="0" w:line="600" w:lineRule="exact"/>
        <w:ind w:left="420" w:leftChars="200"/>
        <w:jc w:val="both"/>
        <w:rPr>
          <w:rFonts w:hint="eastAsia" w:ascii="仿宋_GB2312" w:hAnsi="仿宋_GB2312" w:eastAsia="仿宋_GB2312" w:cs="仿宋_GB2312"/>
          <w:color w:val="auto"/>
          <w:sz w:val="32"/>
          <w:szCs w:val="32"/>
        </w:rPr>
      </w:pPr>
    </w:p>
    <w:p w14:paraId="137C7E09">
      <w:pPr>
        <w:rPr>
          <w:color w:val="auto"/>
        </w:rPr>
      </w:pPr>
    </w:p>
    <w:sectPr>
      <w:pgSz w:w="11906" w:h="16838"/>
      <w:pgMar w:top="1701" w:right="1474"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chineseCountingThousand"/>
      <w:lvlText w:val="第%1条"/>
      <w:lvlJc w:val="left"/>
      <w:pPr>
        <w:ind w:left="988" w:hanging="420"/>
      </w:pPr>
      <w:rPr>
        <w:rFonts w:hint="eastAsia" w:ascii="楷体" w:hAnsi="楷体" w:eastAsia="楷体" w:cs="楷体"/>
        <w:b w:val="0"/>
        <w:bCs/>
        <w:sz w:val="32"/>
        <w:szCs w:val="32"/>
        <w:lang w:val="en-US"/>
      </w:rPr>
    </w:lvl>
    <w:lvl w:ilvl="1" w:tentative="0">
      <w:start w:val="1"/>
      <w:numFmt w:val="japaneseCounting"/>
      <w:lvlText w:val="（%2）"/>
      <w:lvlJc w:val="left"/>
      <w:pPr>
        <w:ind w:left="2321" w:hanging="1350"/>
      </w:pPr>
      <w:rPr>
        <w:rFonts w:hint="default"/>
      </w:rPr>
    </w:lvl>
    <w:lvl w:ilvl="2" w:tentative="0">
      <w:start w:val="1"/>
      <w:numFmt w:val="lowerRoman"/>
      <w:lvlText w:val="%3."/>
      <w:lvlJc w:val="right"/>
      <w:pPr>
        <w:ind w:left="1811" w:hanging="420"/>
      </w:pPr>
    </w:lvl>
    <w:lvl w:ilvl="3" w:tentative="0">
      <w:start w:val="1"/>
      <w:numFmt w:val="decimal"/>
      <w:lvlText w:val="%4."/>
      <w:lvlJc w:val="left"/>
      <w:pPr>
        <w:ind w:left="2231" w:hanging="420"/>
      </w:pPr>
    </w:lvl>
    <w:lvl w:ilvl="4" w:tentative="0">
      <w:start w:val="1"/>
      <w:numFmt w:val="lowerLetter"/>
      <w:lvlText w:val="%5)"/>
      <w:lvlJc w:val="left"/>
      <w:pPr>
        <w:ind w:left="2651" w:hanging="420"/>
      </w:pPr>
    </w:lvl>
    <w:lvl w:ilvl="5" w:tentative="0">
      <w:start w:val="1"/>
      <w:numFmt w:val="lowerRoman"/>
      <w:lvlText w:val="%6."/>
      <w:lvlJc w:val="right"/>
      <w:pPr>
        <w:ind w:left="3071" w:hanging="420"/>
      </w:pPr>
    </w:lvl>
    <w:lvl w:ilvl="6" w:tentative="0">
      <w:start w:val="1"/>
      <w:numFmt w:val="decimal"/>
      <w:lvlText w:val="%7."/>
      <w:lvlJc w:val="left"/>
      <w:pPr>
        <w:ind w:left="3491" w:hanging="420"/>
      </w:pPr>
    </w:lvl>
    <w:lvl w:ilvl="7" w:tentative="0">
      <w:start w:val="1"/>
      <w:numFmt w:val="lowerLetter"/>
      <w:lvlText w:val="%8)"/>
      <w:lvlJc w:val="left"/>
      <w:pPr>
        <w:ind w:left="3911" w:hanging="420"/>
      </w:pPr>
    </w:lvl>
    <w:lvl w:ilvl="8" w:tentative="0">
      <w:start w:val="1"/>
      <w:numFmt w:val="lowerRoman"/>
      <w:lvlText w:val="%9."/>
      <w:lvlJc w:val="right"/>
      <w:pPr>
        <w:ind w:left="4331" w:hanging="420"/>
      </w:pPr>
    </w:lvl>
  </w:abstractNum>
  <w:abstractNum w:abstractNumId="1">
    <w:nsid w:val="4C673EC3"/>
    <w:multiLevelType w:val="singleLevel"/>
    <w:tmpl w:val="4C673EC3"/>
    <w:lvl w:ilvl="0" w:tentative="0">
      <w:start w:val="1"/>
      <w:numFmt w:val="decimal"/>
      <w:suff w:val="nothing"/>
      <w:lvlText w:val="%1．"/>
      <w:lvlJc w:val="left"/>
      <w:pPr>
        <w:ind w:left="-10" w:firstLine="397"/>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10624C"/>
    <w:rsid w:val="04E36405"/>
    <w:rsid w:val="3210624C"/>
    <w:rsid w:val="45CC0212"/>
    <w:rsid w:val="47992F34"/>
    <w:rsid w:val="6E4D422F"/>
    <w:rsid w:val="798C00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5">
    <w:name w:val="手册标题1"/>
    <w:basedOn w:val="1"/>
    <w:qFormat/>
    <w:uiPriority w:val="0"/>
    <w:pPr>
      <w:spacing w:beforeLines="100" w:afterLines="50" w:line="360" w:lineRule="auto"/>
      <w:ind w:right="74"/>
      <w:outlineLvl w:val="1"/>
    </w:pPr>
    <w:rPr>
      <w:b/>
      <w:sz w:val="24"/>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3850</Words>
  <Characters>3875</Characters>
  <Lines>0</Lines>
  <Paragraphs>0</Paragraphs>
  <TotalTime>1195</TotalTime>
  <ScaleCrop>false</ScaleCrop>
  <LinksUpToDate>false</LinksUpToDate>
  <CharactersWithSpaces>3899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2025-04-18T01:16:00Z</dcterms:created>
  <dc:creator>zj</dc:creator>
  <cp:lastModifiedBy>zj</cp:lastModifiedBy>
  <dcterms:modified xsi:type="dcterms:W3CDTF">2025-06-20T09:15:10Z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AF806E5FFE21484FA693380D5F636697_11</vt:lpwstr>
  </property>
  <property fmtid="{D5CDD505-2E9C-101B-9397-08002B2CF9AE}" pid="4" name="KSOTemplateDocerSaveRecord">
    <vt:lpwstr>eyJoZGlkIjoiZWNkMDEwM2Q4YmQwMjM3MWNjNDlmY2JlYTI2ODY2MDkiLCJ1c2VySWQiOiI2MDg0MDAyNjAifQ==</vt:lpwstr>
  </property>
</Properties>
</file>