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966BA38">
      <w:pPr>
        <w:pStyle w:val="2"/>
        <w:keepNext w:val="0"/>
        <w:keepLines w:val="0"/>
        <w:pageBreakBefore w:val="0"/>
        <w:widowControl w:val="0"/>
        <w:kinsoku/>
        <w:wordWrap/>
        <w:overflowPunct/>
        <w:topLinePunct w:val="0"/>
        <w:autoSpaceDE/>
        <w:autoSpaceDN/>
        <w:bidi w:val="0"/>
        <w:adjustRightInd/>
        <w:snapToGrid/>
        <w:spacing w:line="579" w:lineRule="exact"/>
        <w:textAlignment w:val="auto"/>
        <w:rPr>
          <w:rFonts w:hint="eastAsia" w:ascii="黑体" w:hAnsi="黑体" w:eastAsia="黑体" w:cs="黑体"/>
          <w:color w:val="000000" w:themeColor="text1"/>
          <w:sz w:val="32"/>
          <w:szCs w:val="32"/>
          <w:lang w:eastAsia="zh-CN"/>
          <w14:textFill>
            <w14:solidFill>
              <w14:schemeClr w14:val="tx1"/>
            </w14:solidFill>
          </w14:textFill>
        </w:rPr>
      </w:pPr>
      <w:r>
        <w:rPr>
          <w:rFonts w:hint="eastAsia" w:ascii="黑体" w:hAnsi="黑体" w:eastAsia="黑体" w:cs="黑体"/>
          <w:color w:val="000000" w:themeColor="text1"/>
          <w:sz w:val="32"/>
          <w:szCs w:val="32"/>
          <w:lang w:eastAsia="zh-CN"/>
          <w14:textFill>
            <w14:solidFill>
              <w14:schemeClr w14:val="tx1"/>
            </w14:solidFill>
          </w14:textFill>
        </w:rPr>
        <w:t>附件</w:t>
      </w:r>
    </w:p>
    <w:p w14:paraId="3F66801F">
      <w:pPr>
        <w:pStyle w:val="2"/>
        <w:keepNext w:val="0"/>
        <w:keepLines w:val="0"/>
        <w:pageBreakBefore w:val="0"/>
        <w:widowControl w:val="0"/>
        <w:kinsoku/>
        <w:wordWrap/>
        <w:overflowPunct/>
        <w:topLinePunct w:val="0"/>
        <w:autoSpaceDE/>
        <w:autoSpaceDN/>
        <w:bidi w:val="0"/>
        <w:adjustRightInd/>
        <w:snapToGrid/>
        <w:spacing w:line="579" w:lineRule="exact"/>
        <w:textAlignment w:val="auto"/>
        <w:rPr>
          <w:rFonts w:hint="eastAsia" w:ascii="黑体" w:hAnsi="黑体" w:eastAsia="黑体" w:cs="黑体"/>
          <w:color w:val="000000" w:themeColor="text1"/>
          <w:sz w:val="32"/>
          <w:szCs w:val="32"/>
          <w:lang w:eastAsia="zh-CN"/>
          <w14:textFill>
            <w14:solidFill>
              <w14:schemeClr w14:val="tx1"/>
            </w14:solidFill>
          </w14:textFill>
        </w:rPr>
      </w:pPr>
    </w:p>
    <w:p w14:paraId="7D44976B">
      <w:pPr>
        <w:keepNext w:val="0"/>
        <w:keepLines w:val="0"/>
        <w:pageBreakBefore w:val="0"/>
        <w:widowControl w:val="0"/>
        <w:kinsoku/>
        <w:wordWrap/>
        <w:overflowPunct/>
        <w:topLinePunct w:val="0"/>
        <w:autoSpaceDE/>
        <w:autoSpaceDN/>
        <w:bidi w:val="0"/>
        <w:adjustRightInd/>
        <w:snapToGrid/>
        <w:spacing w:line="579" w:lineRule="exact"/>
        <w:jc w:val="center"/>
        <w:textAlignment w:val="auto"/>
        <w:rPr>
          <w:rFonts w:hint="eastAsia" w:ascii="方正小标宋简体" w:hAnsi="宋体" w:eastAsia="方正小标宋简体"/>
          <w:bCs/>
          <w:color w:val="000000" w:themeColor="text1"/>
          <w:spacing w:val="-11"/>
          <w:sz w:val="44"/>
          <w:szCs w:val="44"/>
          <w14:textFill>
            <w14:solidFill>
              <w14:schemeClr w14:val="tx1"/>
            </w14:solidFill>
          </w14:textFill>
        </w:rPr>
      </w:pPr>
      <w:r>
        <w:rPr>
          <w:rFonts w:hint="eastAsia" w:ascii="方正小标宋简体" w:hAnsi="宋体" w:eastAsia="方正小标宋简体"/>
          <w:bCs/>
          <w:color w:val="000000" w:themeColor="text1"/>
          <w:spacing w:val="-11"/>
          <w:sz w:val="44"/>
          <w:szCs w:val="44"/>
          <w14:textFill>
            <w14:solidFill>
              <w14:schemeClr w14:val="tx1"/>
            </w14:solidFill>
          </w14:textFill>
        </w:rPr>
        <w:t>鄂尔多斯机场管理集团有限公司</w:t>
      </w:r>
    </w:p>
    <w:p w14:paraId="108CD260">
      <w:pPr>
        <w:keepNext w:val="0"/>
        <w:keepLines w:val="0"/>
        <w:pageBreakBefore w:val="0"/>
        <w:widowControl w:val="0"/>
        <w:kinsoku/>
        <w:wordWrap/>
        <w:overflowPunct/>
        <w:topLinePunct w:val="0"/>
        <w:autoSpaceDE/>
        <w:autoSpaceDN/>
        <w:bidi w:val="0"/>
        <w:adjustRightInd/>
        <w:snapToGrid/>
        <w:spacing w:line="579" w:lineRule="exact"/>
        <w:jc w:val="center"/>
        <w:textAlignment w:val="auto"/>
        <w:rPr>
          <w:rFonts w:hint="eastAsia" w:ascii="方正小标宋简体" w:hAnsi="宋体" w:eastAsia="方正小标宋简体"/>
          <w:bCs/>
          <w:color w:val="000000" w:themeColor="text1"/>
          <w:spacing w:val="-11"/>
          <w:sz w:val="44"/>
          <w:szCs w:val="44"/>
          <w:lang w:eastAsia="zh-CN"/>
          <w14:textFill>
            <w14:solidFill>
              <w14:schemeClr w14:val="tx1"/>
            </w14:solidFill>
          </w14:textFill>
        </w:rPr>
      </w:pPr>
      <w:r>
        <w:rPr>
          <w:rFonts w:hint="eastAsia" w:ascii="方正小标宋简体" w:hAnsi="宋体" w:eastAsia="方正小标宋简体"/>
          <w:bCs/>
          <w:color w:val="000000" w:themeColor="text1"/>
          <w:spacing w:val="-11"/>
          <w:sz w:val="44"/>
          <w:szCs w:val="44"/>
          <w14:textFill>
            <w14:solidFill>
              <w14:schemeClr w14:val="tx1"/>
            </w14:solidFill>
          </w14:textFill>
        </w:rPr>
        <w:t>党委会议事规则</w:t>
      </w:r>
      <w:r>
        <w:rPr>
          <w:rFonts w:hint="eastAsia" w:ascii="方正小标宋简体" w:hAnsi="宋体" w:eastAsia="方正小标宋简体"/>
          <w:bCs/>
          <w:color w:val="000000" w:themeColor="text1"/>
          <w:spacing w:val="-11"/>
          <w:sz w:val="44"/>
          <w:szCs w:val="44"/>
          <w:lang w:eastAsia="zh-CN"/>
          <w14:textFill>
            <w14:solidFill>
              <w14:schemeClr w14:val="tx1"/>
            </w14:solidFill>
          </w14:textFill>
        </w:rPr>
        <w:t>（</w:t>
      </w:r>
      <w:r>
        <w:rPr>
          <w:rFonts w:hint="eastAsia" w:ascii="方正小标宋简体" w:hAnsi="宋体" w:eastAsia="方正小标宋简体"/>
          <w:bCs/>
          <w:color w:val="000000" w:themeColor="text1"/>
          <w:spacing w:val="-11"/>
          <w:sz w:val="44"/>
          <w:szCs w:val="44"/>
          <w:lang w:val="en-US" w:eastAsia="zh-CN"/>
          <w14:textFill>
            <w14:solidFill>
              <w14:schemeClr w14:val="tx1"/>
            </w14:solidFill>
          </w14:textFill>
        </w:rPr>
        <w:t>试行</w:t>
      </w:r>
      <w:r>
        <w:rPr>
          <w:rFonts w:hint="eastAsia" w:ascii="方正小标宋简体" w:hAnsi="宋体" w:eastAsia="方正小标宋简体"/>
          <w:bCs/>
          <w:color w:val="000000" w:themeColor="text1"/>
          <w:spacing w:val="-11"/>
          <w:sz w:val="44"/>
          <w:szCs w:val="44"/>
          <w:lang w:eastAsia="zh-CN"/>
          <w14:textFill>
            <w14:solidFill>
              <w14:schemeClr w14:val="tx1"/>
            </w14:solidFill>
          </w14:textFill>
        </w:rPr>
        <w:t>）</w:t>
      </w:r>
    </w:p>
    <w:p w14:paraId="19256DC6">
      <w:pPr>
        <w:keepNext w:val="0"/>
        <w:keepLines w:val="0"/>
        <w:pageBreakBefore w:val="0"/>
        <w:widowControl w:val="0"/>
        <w:kinsoku/>
        <w:wordWrap/>
        <w:overflowPunct/>
        <w:topLinePunct w:val="0"/>
        <w:autoSpaceDE/>
        <w:autoSpaceDN/>
        <w:bidi w:val="0"/>
        <w:adjustRightInd/>
        <w:snapToGrid/>
        <w:spacing w:beforeLines="100" w:afterLines="100" w:line="579" w:lineRule="exact"/>
        <w:jc w:val="center"/>
        <w:textAlignment w:val="auto"/>
        <w:rPr>
          <w:rFonts w:ascii="黑体" w:hAnsi="黑体" w:eastAsia="黑体"/>
          <w:bCs/>
          <w:color w:val="000000" w:themeColor="text1"/>
          <w:sz w:val="32"/>
          <w:szCs w:val="32"/>
          <w14:textFill>
            <w14:solidFill>
              <w14:schemeClr w14:val="tx1"/>
            </w14:solidFill>
          </w14:textFill>
        </w:rPr>
      </w:pPr>
      <w:r>
        <w:rPr>
          <w:rFonts w:hint="eastAsia" w:ascii="黑体" w:hAnsi="黑体" w:eastAsia="黑体"/>
          <w:bCs/>
          <w:color w:val="000000" w:themeColor="text1"/>
          <w:sz w:val="32"/>
          <w:szCs w:val="32"/>
          <w14:textFill>
            <w14:solidFill>
              <w14:schemeClr w14:val="tx1"/>
            </w14:solidFill>
          </w14:textFill>
        </w:rPr>
        <w:t>第一章  总  则</w:t>
      </w:r>
    </w:p>
    <w:p w14:paraId="280D9D53">
      <w:pPr>
        <w:keepNext w:val="0"/>
        <w:keepLines w:val="0"/>
        <w:pageBreakBefore w:val="0"/>
        <w:widowControl w:val="0"/>
        <w:numPr>
          <w:ilvl w:val="0"/>
          <w:numId w:val="1"/>
        </w:numPr>
        <w:kinsoku/>
        <w:wordWrap/>
        <w:overflowPunct/>
        <w:topLinePunct w:val="0"/>
        <w:autoSpaceDE/>
        <w:autoSpaceDN/>
        <w:bidi w:val="0"/>
        <w:adjustRightInd/>
        <w:snapToGrid/>
        <w:spacing w:line="579"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为充分发挥企业党委的政治核心作用，规范党委会议事规则、决策程序，确保民主科学决策，提高会议效率，根据《中国共产党章程》、</w:t>
      </w: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14:textFill>
            <w14:solidFill>
              <w14:schemeClr w14:val="tx1"/>
            </w14:solidFill>
          </w14:textFill>
        </w:rPr>
        <w:t>中国共产党国有企业基层组织工作条例（试行）</w:t>
      </w: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14:textFill>
            <w14:solidFill>
              <w14:schemeClr w14:val="tx1"/>
            </w14:solidFill>
          </w14:textFill>
        </w:rPr>
        <w:t>《中国共产党党内监督条例》和上级党委的有关工作要求，结合我公司实际，规定制定本规则。</w:t>
      </w:r>
    </w:p>
    <w:p w14:paraId="6C5795A0">
      <w:pPr>
        <w:pStyle w:val="5"/>
        <w:keepNext w:val="0"/>
        <w:keepLines w:val="0"/>
        <w:pageBreakBefore w:val="0"/>
        <w:widowControl w:val="0"/>
        <w:numPr>
          <w:ilvl w:val="0"/>
          <w:numId w:val="1"/>
        </w:numPr>
        <w:kinsoku/>
        <w:wordWrap/>
        <w:overflowPunct/>
        <w:topLinePunct w:val="0"/>
        <w:autoSpaceDE/>
        <w:autoSpaceDN/>
        <w:bidi w:val="0"/>
        <w:adjustRightInd/>
        <w:snapToGrid/>
        <w:spacing w:beforeLines="0" w:afterLines="0" w:line="579" w:lineRule="exact"/>
        <w:ind w:firstLine="640" w:firstLineChars="200"/>
        <w:textAlignment w:val="auto"/>
        <w:rPr>
          <w:rFonts w:hint="eastAsia" w:ascii="仿宋" w:hAnsi="仿宋" w:eastAsia="仿宋" w:cs="仿宋"/>
          <w:b w:val="0"/>
          <w:color w:val="000000" w:themeColor="text1"/>
          <w:sz w:val="32"/>
          <w:szCs w:val="32"/>
          <w14:textFill>
            <w14:solidFill>
              <w14:schemeClr w14:val="tx1"/>
            </w14:solidFill>
          </w14:textFill>
        </w:rPr>
      </w:pPr>
      <w:r>
        <w:rPr>
          <w:rFonts w:hint="eastAsia" w:ascii="仿宋" w:hAnsi="仿宋" w:eastAsia="仿宋" w:cs="仿宋"/>
          <w:b w:val="0"/>
          <w:color w:val="000000" w:themeColor="text1"/>
          <w:sz w:val="32"/>
          <w:szCs w:val="32"/>
          <w14:textFill>
            <w14:solidFill>
              <w14:schemeClr w14:val="tx1"/>
            </w14:solidFill>
          </w14:textFill>
        </w:rPr>
        <w:t>适用于党委会会前、会中和会后工作，对全体委员和列席会议的其他有关人员均具有约束力。</w:t>
      </w:r>
    </w:p>
    <w:p w14:paraId="73FF0B3E">
      <w:pPr>
        <w:pStyle w:val="5"/>
        <w:keepNext w:val="0"/>
        <w:keepLines w:val="0"/>
        <w:pageBreakBefore w:val="0"/>
        <w:widowControl w:val="0"/>
        <w:numPr>
          <w:ilvl w:val="0"/>
          <w:numId w:val="1"/>
        </w:numPr>
        <w:kinsoku/>
        <w:wordWrap/>
        <w:overflowPunct/>
        <w:topLinePunct w:val="0"/>
        <w:autoSpaceDE/>
        <w:autoSpaceDN/>
        <w:bidi w:val="0"/>
        <w:adjustRightInd/>
        <w:snapToGrid/>
        <w:spacing w:beforeLines="0" w:afterLines="0" w:line="579" w:lineRule="exact"/>
        <w:ind w:firstLine="640" w:firstLineChars="200"/>
        <w:textAlignment w:val="auto"/>
        <w:rPr>
          <w:rFonts w:hint="eastAsia" w:ascii="仿宋" w:hAnsi="仿宋" w:eastAsia="仿宋" w:cs="仿宋"/>
          <w:b w:val="0"/>
          <w:color w:val="000000" w:themeColor="text1"/>
          <w:sz w:val="32"/>
          <w:szCs w:val="32"/>
          <w14:textFill>
            <w14:solidFill>
              <w14:schemeClr w14:val="tx1"/>
            </w14:solidFill>
          </w14:textFill>
        </w:rPr>
      </w:pPr>
      <w:r>
        <w:rPr>
          <w:rFonts w:hint="eastAsia" w:ascii="仿宋" w:hAnsi="仿宋" w:eastAsia="仿宋" w:cs="仿宋"/>
          <w:b w:val="0"/>
          <w:color w:val="000000" w:themeColor="text1"/>
          <w:sz w:val="32"/>
          <w:szCs w:val="32"/>
          <w14:textFill>
            <w14:solidFill>
              <w14:schemeClr w14:val="tx1"/>
            </w14:solidFill>
          </w14:textFill>
        </w:rPr>
        <w:t>党委会议事坚持党的民主集中制原则、集体领导和个人分工负责相结合的原则、求真务实和精简高效的原则。</w:t>
      </w:r>
    </w:p>
    <w:p w14:paraId="2405DBC3">
      <w:pPr>
        <w:pStyle w:val="5"/>
        <w:keepNext w:val="0"/>
        <w:keepLines w:val="0"/>
        <w:pageBreakBefore w:val="0"/>
        <w:widowControl w:val="0"/>
        <w:numPr>
          <w:ilvl w:val="0"/>
          <w:numId w:val="1"/>
        </w:numPr>
        <w:kinsoku/>
        <w:wordWrap/>
        <w:overflowPunct/>
        <w:topLinePunct w:val="0"/>
        <w:autoSpaceDE/>
        <w:autoSpaceDN/>
        <w:bidi w:val="0"/>
        <w:adjustRightInd/>
        <w:snapToGrid/>
        <w:spacing w:beforeLines="0" w:afterLines="0" w:line="579" w:lineRule="exact"/>
        <w:ind w:firstLine="640" w:firstLineChars="200"/>
        <w:textAlignment w:val="auto"/>
        <w:rPr>
          <w:rFonts w:hint="eastAsia" w:ascii="仿宋" w:hAnsi="仿宋" w:eastAsia="仿宋" w:cs="仿宋"/>
          <w:b w:val="0"/>
          <w:color w:val="000000" w:themeColor="text1"/>
          <w:sz w:val="32"/>
          <w:szCs w:val="32"/>
          <w14:textFill>
            <w14:solidFill>
              <w14:schemeClr w14:val="tx1"/>
            </w14:solidFill>
          </w14:textFill>
        </w:rPr>
      </w:pPr>
      <w:r>
        <w:rPr>
          <w:rFonts w:hint="eastAsia" w:ascii="仿宋" w:hAnsi="仿宋" w:eastAsia="仿宋" w:cs="仿宋"/>
          <w:b w:val="0"/>
          <w:color w:val="000000" w:themeColor="text1"/>
          <w:sz w:val="32"/>
          <w:szCs w:val="32"/>
          <w14:textFill>
            <w14:solidFill>
              <w14:schemeClr w14:val="tx1"/>
            </w14:solidFill>
          </w14:textFill>
        </w:rPr>
        <w:t>为落实党委会职责，保证党委参与公司重大问题的决策，发挥党委保证、监督和支持功能，党委委员与董事会成员实行“双向进入、交叉任职”。</w:t>
      </w:r>
    </w:p>
    <w:p w14:paraId="6E5007FB">
      <w:pPr>
        <w:pStyle w:val="5"/>
        <w:keepNext w:val="0"/>
        <w:keepLines w:val="0"/>
        <w:pageBreakBefore w:val="0"/>
        <w:widowControl w:val="0"/>
        <w:numPr>
          <w:ilvl w:val="0"/>
          <w:numId w:val="1"/>
        </w:numPr>
        <w:kinsoku/>
        <w:wordWrap/>
        <w:overflowPunct/>
        <w:topLinePunct w:val="0"/>
        <w:autoSpaceDE/>
        <w:autoSpaceDN/>
        <w:bidi w:val="0"/>
        <w:adjustRightInd/>
        <w:snapToGrid/>
        <w:spacing w:beforeLines="0" w:afterLines="0" w:line="579" w:lineRule="exact"/>
        <w:ind w:firstLine="640" w:firstLineChars="200"/>
        <w:textAlignment w:val="auto"/>
        <w:rPr>
          <w:rFonts w:hint="eastAsia" w:ascii="仿宋" w:hAnsi="仿宋" w:eastAsia="仿宋" w:cs="仿宋"/>
          <w:b w:val="0"/>
          <w:color w:val="000000" w:themeColor="text1"/>
          <w:sz w:val="32"/>
          <w:szCs w:val="32"/>
          <w14:textFill>
            <w14:solidFill>
              <w14:schemeClr w14:val="tx1"/>
            </w14:solidFill>
          </w14:textFill>
        </w:rPr>
      </w:pPr>
      <w:r>
        <w:rPr>
          <w:rFonts w:hint="eastAsia" w:ascii="仿宋" w:hAnsi="仿宋" w:eastAsia="仿宋" w:cs="仿宋"/>
          <w:b w:val="0"/>
          <w:color w:val="000000" w:themeColor="text1"/>
          <w:sz w:val="32"/>
          <w:szCs w:val="32"/>
          <w14:textFill>
            <w14:solidFill>
              <w14:schemeClr w14:val="tx1"/>
            </w14:solidFill>
          </w14:textFill>
        </w:rPr>
        <w:t>企业党委的决议由进入董事会和经营班子的党委委员通过多种方式进行反映，使之在公司决策中得到体现。</w:t>
      </w:r>
    </w:p>
    <w:p w14:paraId="0A15F2AE">
      <w:pPr>
        <w:keepNext w:val="0"/>
        <w:keepLines w:val="0"/>
        <w:pageBreakBefore w:val="0"/>
        <w:widowControl w:val="0"/>
        <w:kinsoku/>
        <w:wordWrap/>
        <w:overflowPunct/>
        <w:topLinePunct w:val="0"/>
        <w:autoSpaceDE/>
        <w:autoSpaceDN/>
        <w:bidi w:val="0"/>
        <w:adjustRightInd/>
        <w:snapToGrid/>
        <w:spacing w:beforeLines="100" w:afterLines="100" w:line="579" w:lineRule="exact"/>
        <w:jc w:val="center"/>
        <w:textAlignment w:val="auto"/>
        <w:rPr>
          <w:rFonts w:hint="eastAsia" w:ascii="黑体" w:hAnsi="黑体" w:eastAsia="黑体"/>
          <w:bCs/>
          <w:color w:val="000000" w:themeColor="text1"/>
          <w:sz w:val="32"/>
          <w:szCs w:val="32"/>
          <w14:textFill>
            <w14:solidFill>
              <w14:schemeClr w14:val="tx1"/>
            </w14:solidFill>
          </w14:textFill>
        </w:rPr>
      </w:pPr>
      <w:r>
        <w:rPr>
          <w:rFonts w:hint="eastAsia" w:ascii="黑体" w:hAnsi="黑体" w:eastAsia="黑体"/>
          <w:bCs/>
          <w:color w:val="000000" w:themeColor="text1"/>
          <w:sz w:val="32"/>
          <w:szCs w:val="32"/>
          <w14:textFill>
            <w14:solidFill>
              <w14:schemeClr w14:val="tx1"/>
            </w14:solidFill>
          </w14:textFill>
        </w:rPr>
        <w:t>第二章  党委会议事规则</w:t>
      </w:r>
    </w:p>
    <w:p w14:paraId="71C2C61C">
      <w:pPr>
        <w:pStyle w:val="5"/>
        <w:keepNext w:val="0"/>
        <w:keepLines w:val="0"/>
        <w:pageBreakBefore w:val="0"/>
        <w:widowControl w:val="0"/>
        <w:numPr>
          <w:ilvl w:val="0"/>
          <w:numId w:val="1"/>
        </w:numPr>
        <w:kinsoku/>
        <w:wordWrap/>
        <w:overflowPunct/>
        <w:topLinePunct w:val="0"/>
        <w:autoSpaceDE/>
        <w:autoSpaceDN/>
        <w:bidi w:val="0"/>
        <w:adjustRightInd/>
        <w:snapToGrid/>
        <w:spacing w:beforeLines="0" w:afterLines="0" w:line="579" w:lineRule="exact"/>
        <w:ind w:right="0" w:firstLine="640" w:firstLineChars="200"/>
        <w:textAlignment w:val="auto"/>
        <w:rPr>
          <w:rFonts w:hint="eastAsia" w:ascii="仿宋" w:hAnsi="仿宋" w:eastAsia="仿宋" w:cs="仿宋"/>
          <w:b w:val="0"/>
          <w:color w:val="000000" w:themeColor="text1"/>
          <w:sz w:val="32"/>
          <w:szCs w:val="32"/>
          <w14:textFill>
            <w14:solidFill>
              <w14:schemeClr w14:val="tx1"/>
            </w14:solidFill>
          </w14:textFill>
        </w:rPr>
      </w:pPr>
      <w:r>
        <w:rPr>
          <w:rFonts w:hint="eastAsia" w:ascii="仿宋" w:hAnsi="仿宋" w:eastAsia="仿宋" w:cs="仿宋"/>
          <w:b w:val="0"/>
          <w:color w:val="000000" w:themeColor="text1"/>
          <w:sz w:val="32"/>
          <w:szCs w:val="32"/>
          <w14:textFill>
            <w14:solidFill>
              <w14:schemeClr w14:val="tx1"/>
            </w14:solidFill>
          </w14:textFill>
        </w:rPr>
        <w:t>党委会按照集体领导、民主集中、个别酝酿、会议决定的原则，集体讨论做出决定。</w:t>
      </w:r>
    </w:p>
    <w:p w14:paraId="3FA952EE">
      <w:pPr>
        <w:pStyle w:val="5"/>
        <w:keepNext w:val="0"/>
        <w:keepLines w:val="0"/>
        <w:pageBreakBefore w:val="0"/>
        <w:widowControl w:val="0"/>
        <w:numPr>
          <w:ilvl w:val="0"/>
          <w:numId w:val="1"/>
        </w:numPr>
        <w:kinsoku/>
        <w:wordWrap/>
        <w:overflowPunct/>
        <w:topLinePunct w:val="0"/>
        <w:autoSpaceDE/>
        <w:autoSpaceDN/>
        <w:bidi w:val="0"/>
        <w:adjustRightInd/>
        <w:snapToGrid/>
        <w:spacing w:beforeLines="0" w:afterLines="0" w:line="579" w:lineRule="exact"/>
        <w:ind w:right="0" w:firstLine="640" w:firstLineChars="200"/>
        <w:textAlignment w:val="auto"/>
        <w:rPr>
          <w:rFonts w:hint="eastAsia" w:ascii="仿宋" w:hAnsi="仿宋" w:eastAsia="仿宋" w:cs="仿宋"/>
          <w:b w:val="0"/>
          <w:color w:val="000000" w:themeColor="text1"/>
          <w:sz w:val="32"/>
          <w:szCs w:val="32"/>
          <w14:textFill>
            <w14:solidFill>
              <w14:schemeClr w14:val="tx1"/>
            </w14:solidFill>
          </w14:textFill>
        </w:rPr>
      </w:pPr>
      <w:r>
        <w:rPr>
          <w:rFonts w:hint="eastAsia" w:ascii="仿宋" w:hAnsi="仿宋" w:eastAsia="仿宋" w:cs="仿宋"/>
          <w:b w:val="0"/>
          <w:color w:val="000000" w:themeColor="text1"/>
          <w:sz w:val="32"/>
          <w:szCs w:val="32"/>
          <w14:textFill>
            <w14:solidFill>
              <w14:schemeClr w14:val="tx1"/>
            </w14:solidFill>
          </w14:textFill>
        </w:rPr>
        <w:t>会议坚持个人服从组织，少数服从多数的原则。如对重要问题发生争论，双方人数接近，除了在紧急情况下必须按多数人意见执行外，应当暂缓做出决定，进一步调查研究交换意见，下次再议或报请上级党组织裁决。党委委员对通过的决议如有不同意见，在坚决执行的前提下，可以声明保留意见并可向上级党组织反映，但不得公开发表与会议决定相反的意见。</w:t>
      </w:r>
    </w:p>
    <w:p w14:paraId="0728E3A1">
      <w:pPr>
        <w:pStyle w:val="5"/>
        <w:keepNext w:val="0"/>
        <w:keepLines w:val="0"/>
        <w:pageBreakBefore w:val="0"/>
        <w:widowControl w:val="0"/>
        <w:numPr>
          <w:ilvl w:val="0"/>
          <w:numId w:val="1"/>
        </w:numPr>
        <w:kinsoku/>
        <w:wordWrap/>
        <w:overflowPunct/>
        <w:topLinePunct w:val="0"/>
        <w:autoSpaceDE/>
        <w:autoSpaceDN/>
        <w:bidi w:val="0"/>
        <w:adjustRightInd/>
        <w:snapToGrid/>
        <w:spacing w:beforeLines="0" w:afterLines="0" w:line="579" w:lineRule="exact"/>
        <w:ind w:right="0" w:firstLine="640" w:firstLineChars="200"/>
        <w:textAlignment w:val="auto"/>
        <w:rPr>
          <w:rFonts w:hint="eastAsia" w:ascii="仿宋" w:hAnsi="仿宋" w:eastAsia="仿宋" w:cs="仿宋"/>
          <w:b w:val="0"/>
          <w:color w:val="000000" w:themeColor="text1"/>
          <w:sz w:val="32"/>
          <w:szCs w:val="32"/>
          <w14:textFill>
            <w14:solidFill>
              <w14:schemeClr w14:val="tx1"/>
            </w14:solidFill>
          </w14:textFill>
        </w:rPr>
      </w:pPr>
      <w:r>
        <w:rPr>
          <w:rFonts w:hint="eastAsia" w:ascii="仿宋" w:hAnsi="仿宋" w:eastAsia="仿宋" w:cs="仿宋"/>
          <w:b w:val="0"/>
          <w:color w:val="000000" w:themeColor="text1"/>
          <w:sz w:val="32"/>
          <w:szCs w:val="32"/>
          <w14:textFill>
            <w14:solidFill>
              <w14:schemeClr w14:val="tx1"/>
            </w14:solidFill>
          </w14:textFill>
        </w:rPr>
        <w:t>会议必须有半数以上党委委员出席方能举行。讨论重大问题包括人事任免或纪律处分时，应有三分之二党委委员出席方能举行。进行表决时，应有半数以上委员赞成方为通过。</w:t>
      </w:r>
    </w:p>
    <w:p w14:paraId="49362E2E">
      <w:pPr>
        <w:pStyle w:val="5"/>
        <w:keepNext w:val="0"/>
        <w:keepLines w:val="0"/>
        <w:pageBreakBefore w:val="0"/>
        <w:widowControl w:val="0"/>
        <w:numPr>
          <w:ilvl w:val="0"/>
          <w:numId w:val="1"/>
        </w:numPr>
        <w:kinsoku/>
        <w:wordWrap/>
        <w:overflowPunct/>
        <w:topLinePunct w:val="0"/>
        <w:autoSpaceDE/>
        <w:autoSpaceDN/>
        <w:bidi w:val="0"/>
        <w:adjustRightInd/>
        <w:snapToGrid/>
        <w:spacing w:beforeLines="0" w:afterLines="0" w:line="579" w:lineRule="exact"/>
        <w:ind w:right="0" w:firstLine="640" w:firstLineChars="200"/>
        <w:textAlignment w:val="auto"/>
        <w:rPr>
          <w:rFonts w:hint="eastAsia" w:ascii="仿宋" w:hAnsi="仿宋" w:eastAsia="仿宋" w:cs="仿宋"/>
          <w:b w:val="0"/>
          <w:color w:val="000000" w:themeColor="text1"/>
          <w:sz w:val="32"/>
          <w:szCs w:val="32"/>
          <w14:textFill>
            <w14:solidFill>
              <w14:schemeClr w14:val="tx1"/>
            </w14:solidFill>
          </w14:textFill>
        </w:rPr>
      </w:pPr>
      <w:r>
        <w:rPr>
          <w:rFonts w:hint="eastAsia" w:ascii="仿宋" w:hAnsi="仿宋" w:eastAsia="仿宋" w:cs="仿宋"/>
          <w:b w:val="0"/>
          <w:color w:val="000000" w:themeColor="text1"/>
          <w:sz w:val="32"/>
          <w:szCs w:val="32"/>
          <w14:textFill>
            <w14:solidFill>
              <w14:schemeClr w14:val="tx1"/>
            </w14:solidFill>
          </w14:textFill>
        </w:rPr>
        <w:t>与会人员负有保密义务，凡属党委会的个人发言意见，与会人员不得向外散布。对会议讨论涉及保密的重要问题，在未公开之前，不得擅自传播。</w:t>
      </w:r>
    </w:p>
    <w:p w14:paraId="34498B36">
      <w:pPr>
        <w:pStyle w:val="5"/>
        <w:keepNext w:val="0"/>
        <w:keepLines w:val="0"/>
        <w:pageBreakBefore w:val="0"/>
        <w:widowControl w:val="0"/>
        <w:numPr>
          <w:ilvl w:val="0"/>
          <w:numId w:val="1"/>
        </w:numPr>
        <w:kinsoku/>
        <w:wordWrap/>
        <w:overflowPunct/>
        <w:topLinePunct w:val="0"/>
        <w:autoSpaceDE/>
        <w:autoSpaceDN/>
        <w:bidi w:val="0"/>
        <w:adjustRightInd/>
        <w:snapToGrid/>
        <w:spacing w:beforeLines="0" w:afterLines="0" w:line="579" w:lineRule="exact"/>
        <w:ind w:right="0" w:firstLine="640" w:firstLineChars="200"/>
        <w:textAlignment w:val="auto"/>
        <w:rPr>
          <w:rFonts w:hint="eastAsia" w:ascii="仿宋" w:hAnsi="仿宋" w:eastAsia="仿宋" w:cs="仿宋"/>
          <w:b w:val="0"/>
          <w:color w:val="000000" w:themeColor="text1"/>
          <w:sz w:val="32"/>
          <w:szCs w:val="32"/>
          <w14:textFill>
            <w14:solidFill>
              <w14:schemeClr w14:val="tx1"/>
            </w14:solidFill>
          </w14:textFill>
        </w:rPr>
      </w:pPr>
      <w:r>
        <w:rPr>
          <w:rFonts w:hint="eastAsia" w:ascii="仿宋" w:hAnsi="仿宋" w:eastAsia="仿宋" w:cs="仿宋"/>
          <w:b w:val="0"/>
          <w:color w:val="000000" w:themeColor="text1"/>
          <w:sz w:val="32"/>
          <w:szCs w:val="32"/>
          <w14:textFill>
            <w14:solidFill>
              <w14:schemeClr w14:val="tx1"/>
            </w14:solidFill>
          </w14:textFill>
        </w:rPr>
        <w:t>对违反本议事规则的情况，按照《中国共产党党内监督条例》有关规定查处。</w:t>
      </w:r>
    </w:p>
    <w:p w14:paraId="759F1709">
      <w:pPr>
        <w:keepNext w:val="0"/>
        <w:keepLines w:val="0"/>
        <w:pageBreakBefore w:val="0"/>
        <w:widowControl w:val="0"/>
        <w:kinsoku/>
        <w:wordWrap/>
        <w:overflowPunct/>
        <w:topLinePunct w:val="0"/>
        <w:autoSpaceDE/>
        <w:autoSpaceDN/>
        <w:bidi w:val="0"/>
        <w:adjustRightInd/>
        <w:snapToGrid/>
        <w:spacing w:beforeLines="100" w:afterLines="100" w:line="579" w:lineRule="exact"/>
        <w:jc w:val="center"/>
        <w:textAlignment w:val="auto"/>
        <w:rPr>
          <w:rFonts w:hint="eastAsia" w:ascii="黑体" w:hAnsi="黑体" w:eastAsia="黑体"/>
          <w:bCs/>
          <w:color w:val="000000" w:themeColor="text1"/>
          <w:sz w:val="32"/>
          <w:szCs w:val="32"/>
          <w14:textFill>
            <w14:solidFill>
              <w14:schemeClr w14:val="tx1"/>
            </w14:solidFill>
          </w14:textFill>
        </w:rPr>
      </w:pPr>
      <w:r>
        <w:rPr>
          <w:rFonts w:hint="eastAsia" w:ascii="黑体" w:hAnsi="黑体" w:eastAsia="黑体"/>
          <w:bCs/>
          <w:color w:val="000000" w:themeColor="text1"/>
          <w:sz w:val="32"/>
          <w:szCs w:val="32"/>
          <w14:textFill>
            <w14:solidFill>
              <w14:schemeClr w14:val="tx1"/>
            </w14:solidFill>
          </w14:textFill>
        </w:rPr>
        <w:t>第三章  党委会职责和会期</w:t>
      </w:r>
    </w:p>
    <w:p w14:paraId="7B099E84">
      <w:pPr>
        <w:pStyle w:val="5"/>
        <w:keepNext w:val="0"/>
        <w:keepLines w:val="0"/>
        <w:pageBreakBefore w:val="0"/>
        <w:widowControl w:val="0"/>
        <w:numPr>
          <w:ilvl w:val="0"/>
          <w:numId w:val="1"/>
        </w:numPr>
        <w:kinsoku/>
        <w:wordWrap/>
        <w:overflowPunct/>
        <w:topLinePunct w:val="0"/>
        <w:autoSpaceDE/>
        <w:autoSpaceDN/>
        <w:bidi w:val="0"/>
        <w:adjustRightInd/>
        <w:snapToGrid/>
        <w:spacing w:beforeLines="0" w:afterLines="0" w:line="579" w:lineRule="exact"/>
        <w:ind w:right="0" w:firstLine="640" w:firstLineChars="200"/>
        <w:textAlignment w:val="auto"/>
        <w:rPr>
          <w:rFonts w:hint="eastAsia" w:ascii="仿宋" w:hAnsi="仿宋" w:eastAsia="仿宋" w:cs="仿宋"/>
          <w:b w:val="0"/>
          <w:color w:val="000000" w:themeColor="text1"/>
          <w:sz w:val="32"/>
          <w:szCs w:val="32"/>
          <w14:textFill>
            <w14:solidFill>
              <w14:schemeClr w14:val="tx1"/>
            </w14:solidFill>
          </w14:textFill>
        </w:rPr>
      </w:pPr>
      <w:r>
        <w:rPr>
          <w:rFonts w:hint="eastAsia" w:ascii="仿宋" w:hAnsi="仿宋" w:eastAsia="仿宋" w:cs="仿宋"/>
          <w:b w:val="0"/>
          <w:color w:val="000000" w:themeColor="text1"/>
          <w:sz w:val="32"/>
          <w:szCs w:val="32"/>
          <w14:textFill>
            <w14:solidFill>
              <w14:schemeClr w14:val="tx1"/>
            </w14:solidFill>
          </w14:textFill>
        </w:rPr>
        <w:t>党委会由党委书记、副书记、委员组成。党群工作部经理列席党委会。根据议事内容，经党委书记同意相关职能部门和直属单位负责人可列席会议。</w:t>
      </w:r>
    </w:p>
    <w:p w14:paraId="34A11630">
      <w:pPr>
        <w:pStyle w:val="5"/>
        <w:keepNext w:val="0"/>
        <w:keepLines w:val="0"/>
        <w:pageBreakBefore w:val="0"/>
        <w:widowControl w:val="0"/>
        <w:numPr>
          <w:ilvl w:val="0"/>
          <w:numId w:val="1"/>
        </w:numPr>
        <w:kinsoku/>
        <w:wordWrap/>
        <w:overflowPunct/>
        <w:topLinePunct w:val="0"/>
        <w:autoSpaceDE/>
        <w:autoSpaceDN/>
        <w:bidi w:val="0"/>
        <w:adjustRightInd/>
        <w:snapToGrid/>
        <w:spacing w:beforeLines="0" w:afterLines="0" w:line="579" w:lineRule="exact"/>
        <w:ind w:right="0" w:firstLine="640" w:firstLineChars="200"/>
        <w:textAlignment w:val="auto"/>
        <w:rPr>
          <w:rFonts w:hint="eastAsia" w:ascii="仿宋" w:hAnsi="仿宋" w:eastAsia="仿宋" w:cs="仿宋"/>
          <w:b w:val="0"/>
          <w:color w:val="000000" w:themeColor="text1"/>
          <w:sz w:val="32"/>
          <w:szCs w:val="32"/>
          <w14:textFill>
            <w14:solidFill>
              <w14:schemeClr w14:val="tx1"/>
            </w14:solidFill>
          </w14:textFill>
        </w:rPr>
      </w:pPr>
      <w:r>
        <w:rPr>
          <w:rFonts w:hint="eastAsia" w:ascii="仿宋" w:hAnsi="仿宋" w:eastAsia="仿宋" w:cs="仿宋"/>
          <w:b w:val="0"/>
          <w:color w:val="000000" w:themeColor="text1"/>
          <w:sz w:val="32"/>
          <w:szCs w:val="32"/>
          <w14:textFill>
            <w14:solidFill>
              <w14:schemeClr w14:val="tx1"/>
            </w14:solidFill>
          </w14:textFill>
        </w:rPr>
        <w:t>党委的主要职责：发挥政治核心作用，围绕集团公司的中心任务开展工作；保证监督党和国家的方针、政策在集团公司的贯彻执行；支持董事长依法行使职权；参与集团公司重大问题的决策；加强党组织的自身建设，领导思想政治工作、精神文明建设和工会、共青团等群众组织。</w:t>
      </w:r>
    </w:p>
    <w:p w14:paraId="0D79757D">
      <w:pPr>
        <w:pStyle w:val="5"/>
        <w:keepNext w:val="0"/>
        <w:keepLines w:val="0"/>
        <w:pageBreakBefore w:val="0"/>
        <w:widowControl w:val="0"/>
        <w:numPr>
          <w:ilvl w:val="0"/>
          <w:numId w:val="1"/>
        </w:numPr>
        <w:kinsoku/>
        <w:wordWrap/>
        <w:overflowPunct/>
        <w:topLinePunct w:val="0"/>
        <w:autoSpaceDE/>
        <w:autoSpaceDN/>
        <w:bidi w:val="0"/>
        <w:adjustRightInd/>
        <w:snapToGrid/>
        <w:spacing w:beforeLines="0" w:afterLines="0" w:line="579" w:lineRule="exact"/>
        <w:ind w:right="0" w:firstLine="640" w:firstLineChars="200"/>
        <w:textAlignment w:val="auto"/>
        <w:rPr>
          <w:rFonts w:hint="eastAsia" w:ascii="仿宋" w:hAnsi="仿宋" w:eastAsia="仿宋" w:cs="仿宋"/>
          <w:b w:val="0"/>
          <w:color w:val="000000" w:themeColor="text1"/>
          <w:sz w:val="32"/>
          <w:szCs w:val="32"/>
          <w14:textFill>
            <w14:solidFill>
              <w14:schemeClr w14:val="tx1"/>
            </w14:solidFill>
          </w14:textFill>
        </w:rPr>
      </w:pPr>
      <w:r>
        <w:rPr>
          <w:rFonts w:hint="eastAsia" w:ascii="仿宋" w:hAnsi="仿宋" w:eastAsia="仿宋" w:cs="仿宋"/>
          <w:b w:val="0"/>
          <w:color w:val="000000" w:themeColor="text1"/>
          <w:sz w:val="32"/>
          <w:szCs w:val="32"/>
          <w14:textFill>
            <w14:solidFill>
              <w14:schemeClr w14:val="tx1"/>
            </w14:solidFill>
          </w14:textFill>
        </w:rPr>
        <w:t>党委书记负责主持党委会，确定会议议题和列席会议人员名单，发表讨论意见，参与集体决策，履行会议决议，签发会议文件。党委副书记协助书记工作，书记不在时，主持召集党委会。</w:t>
      </w:r>
    </w:p>
    <w:p w14:paraId="121EA623">
      <w:pPr>
        <w:pStyle w:val="5"/>
        <w:keepNext w:val="0"/>
        <w:keepLines w:val="0"/>
        <w:pageBreakBefore w:val="0"/>
        <w:widowControl w:val="0"/>
        <w:numPr>
          <w:ilvl w:val="0"/>
          <w:numId w:val="1"/>
        </w:numPr>
        <w:kinsoku/>
        <w:wordWrap/>
        <w:overflowPunct/>
        <w:topLinePunct w:val="0"/>
        <w:autoSpaceDE/>
        <w:autoSpaceDN/>
        <w:bidi w:val="0"/>
        <w:adjustRightInd/>
        <w:snapToGrid/>
        <w:spacing w:beforeLines="0" w:afterLines="0" w:line="579" w:lineRule="exact"/>
        <w:ind w:right="0" w:firstLine="640" w:firstLineChars="200"/>
        <w:textAlignment w:val="auto"/>
        <w:rPr>
          <w:rFonts w:hint="eastAsia" w:ascii="仿宋" w:hAnsi="仿宋" w:eastAsia="仿宋" w:cs="仿宋"/>
          <w:b w:val="0"/>
          <w:color w:val="000000" w:themeColor="text1"/>
          <w:sz w:val="32"/>
          <w:szCs w:val="32"/>
          <w14:textFill>
            <w14:solidFill>
              <w14:schemeClr w14:val="tx1"/>
            </w14:solidFill>
          </w14:textFill>
        </w:rPr>
      </w:pPr>
      <w:r>
        <w:rPr>
          <w:rFonts w:hint="eastAsia" w:ascii="仿宋" w:hAnsi="仿宋" w:eastAsia="仿宋" w:cs="仿宋"/>
          <w:b w:val="0"/>
          <w:color w:val="000000" w:themeColor="text1"/>
          <w:sz w:val="32"/>
          <w:szCs w:val="32"/>
          <w14:textFill>
            <w14:solidFill>
              <w14:schemeClr w14:val="tx1"/>
            </w14:solidFill>
          </w14:textFill>
        </w:rPr>
        <w:t>党委委员根据分工提出会议议案，出席会议并发表讨论意见，参与集体决策，履行会议决议。</w:t>
      </w:r>
    </w:p>
    <w:p w14:paraId="199FDA73">
      <w:pPr>
        <w:pStyle w:val="5"/>
        <w:keepNext w:val="0"/>
        <w:keepLines w:val="0"/>
        <w:pageBreakBefore w:val="0"/>
        <w:widowControl w:val="0"/>
        <w:numPr>
          <w:ilvl w:val="0"/>
          <w:numId w:val="1"/>
        </w:numPr>
        <w:kinsoku/>
        <w:wordWrap/>
        <w:overflowPunct/>
        <w:topLinePunct w:val="0"/>
        <w:autoSpaceDE/>
        <w:autoSpaceDN/>
        <w:bidi w:val="0"/>
        <w:adjustRightInd/>
        <w:snapToGrid/>
        <w:spacing w:beforeLines="0" w:afterLines="0" w:line="579" w:lineRule="exact"/>
        <w:ind w:right="0" w:firstLine="640" w:firstLineChars="200"/>
        <w:textAlignment w:val="auto"/>
        <w:rPr>
          <w:rFonts w:hint="eastAsia" w:ascii="仿宋" w:hAnsi="仿宋" w:eastAsia="仿宋" w:cs="仿宋"/>
          <w:b w:val="0"/>
          <w:color w:val="000000" w:themeColor="text1"/>
          <w:sz w:val="32"/>
          <w:szCs w:val="32"/>
          <w14:textFill>
            <w14:solidFill>
              <w14:schemeClr w14:val="tx1"/>
            </w14:solidFill>
          </w14:textFill>
        </w:rPr>
      </w:pPr>
      <w:r>
        <w:rPr>
          <w:rFonts w:hint="eastAsia" w:ascii="仿宋" w:hAnsi="仿宋" w:eastAsia="仿宋" w:cs="仿宋"/>
          <w:b w:val="0"/>
          <w:color w:val="000000" w:themeColor="text1"/>
          <w:sz w:val="32"/>
          <w:szCs w:val="32"/>
          <w14:textFill>
            <w14:solidFill>
              <w14:schemeClr w14:val="tx1"/>
            </w14:solidFill>
          </w14:textFill>
        </w:rPr>
        <w:t>党群工作部负责收集会议议题和会务工作，整理和草拟会议文件，督办会议决定事项。其他单位部门按职能划分负责准备会议讨论议题的相关材料及会议决定事项的落实。</w:t>
      </w:r>
    </w:p>
    <w:p w14:paraId="2E66932A">
      <w:pPr>
        <w:pStyle w:val="5"/>
        <w:keepNext w:val="0"/>
        <w:keepLines w:val="0"/>
        <w:pageBreakBefore w:val="0"/>
        <w:widowControl w:val="0"/>
        <w:numPr>
          <w:ilvl w:val="0"/>
          <w:numId w:val="1"/>
        </w:numPr>
        <w:kinsoku/>
        <w:wordWrap/>
        <w:overflowPunct/>
        <w:topLinePunct w:val="0"/>
        <w:autoSpaceDE/>
        <w:autoSpaceDN/>
        <w:bidi w:val="0"/>
        <w:adjustRightInd/>
        <w:snapToGrid/>
        <w:spacing w:beforeLines="0" w:afterLines="0" w:line="579" w:lineRule="exact"/>
        <w:ind w:right="0" w:firstLine="640" w:firstLineChars="200"/>
        <w:textAlignment w:val="auto"/>
        <w:rPr>
          <w:rFonts w:hint="eastAsia" w:ascii="仿宋" w:hAnsi="仿宋" w:eastAsia="仿宋" w:cs="仿宋"/>
          <w:b w:val="0"/>
          <w:color w:val="000000" w:themeColor="text1"/>
          <w:sz w:val="32"/>
          <w:szCs w:val="32"/>
          <w14:textFill>
            <w14:solidFill>
              <w14:schemeClr w14:val="tx1"/>
            </w14:solidFill>
          </w14:textFill>
        </w:rPr>
      </w:pPr>
      <w:r>
        <w:rPr>
          <w:rFonts w:hint="eastAsia" w:ascii="仿宋" w:hAnsi="仿宋" w:eastAsia="仿宋" w:cs="仿宋"/>
          <w:b w:val="0"/>
          <w:color w:val="000000" w:themeColor="text1"/>
          <w:sz w:val="32"/>
          <w:szCs w:val="32"/>
          <w14:textFill>
            <w14:solidFill>
              <w14:schemeClr w14:val="tx1"/>
            </w14:solidFill>
          </w14:textFill>
        </w:rPr>
        <w:t>党委会原则上每月召开一次，根据工作需要，经党委委员提议，党委书记同意，可随时召开。</w:t>
      </w:r>
    </w:p>
    <w:p w14:paraId="70EF1C57">
      <w:pPr>
        <w:keepNext w:val="0"/>
        <w:keepLines w:val="0"/>
        <w:pageBreakBefore w:val="0"/>
        <w:widowControl w:val="0"/>
        <w:kinsoku/>
        <w:wordWrap/>
        <w:overflowPunct/>
        <w:topLinePunct w:val="0"/>
        <w:autoSpaceDE/>
        <w:autoSpaceDN/>
        <w:bidi w:val="0"/>
        <w:adjustRightInd/>
        <w:snapToGrid/>
        <w:spacing w:beforeLines="100" w:afterLines="100" w:line="579" w:lineRule="exact"/>
        <w:jc w:val="center"/>
        <w:textAlignment w:val="auto"/>
        <w:rPr>
          <w:rFonts w:hint="eastAsia" w:ascii="黑体" w:hAnsi="黑体" w:eastAsia="黑体"/>
          <w:bCs/>
          <w:color w:val="000000" w:themeColor="text1"/>
          <w:sz w:val="32"/>
          <w:szCs w:val="32"/>
          <w14:textFill>
            <w14:solidFill>
              <w14:schemeClr w14:val="tx1"/>
            </w14:solidFill>
          </w14:textFill>
        </w:rPr>
      </w:pPr>
      <w:r>
        <w:rPr>
          <w:rFonts w:hint="eastAsia" w:ascii="黑体" w:hAnsi="黑体" w:eastAsia="黑体"/>
          <w:bCs/>
          <w:color w:val="000000" w:themeColor="text1"/>
          <w:sz w:val="32"/>
          <w:szCs w:val="32"/>
          <w14:textFill>
            <w14:solidFill>
              <w14:schemeClr w14:val="tx1"/>
            </w14:solidFill>
          </w14:textFill>
        </w:rPr>
        <w:t>第四章  党委会议事内容</w:t>
      </w:r>
    </w:p>
    <w:p w14:paraId="0C0D9BF4">
      <w:pPr>
        <w:pStyle w:val="5"/>
        <w:keepNext w:val="0"/>
        <w:keepLines w:val="0"/>
        <w:pageBreakBefore w:val="0"/>
        <w:widowControl w:val="0"/>
        <w:numPr>
          <w:ilvl w:val="0"/>
          <w:numId w:val="1"/>
        </w:numPr>
        <w:kinsoku/>
        <w:wordWrap/>
        <w:overflowPunct/>
        <w:topLinePunct w:val="0"/>
        <w:autoSpaceDE/>
        <w:autoSpaceDN/>
        <w:bidi w:val="0"/>
        <w:adjustRightInd/>
        <w:snapToGrid/>
        <w:spacing w:beforeLines="0" w:afterLines="0" w:line="579" w:lineRule="exact"/>
        <w:ind w:right="0" w:firstLine="640" w:firstLineChars="200"/>
        <w:textAlignment w:val="auto"/>
        <w:rPr>
          <w:rFonts w:hint="eastAsia" w:ascii="仿宋" w:hAnsi="仿宋" w:eastAsia="仿宋" w:cs="仿宋"/>
          <w:b w:val="0"/>
          <w:color w:val="000000" w:themeColor="text1"/>
          <w:sz w:val="32"/>
          <w:szCs w:val="32"/>
          <w:highlight w:val="none"/>
          <w14:textFill>
            <w14:solidFill>
              <w14:schemeClr w14:val="tx1"/>
            </w14:solidFill>
          </w14:textFill>
        </w:rPr>
      </w:pPr>
      <w:r>
        <w:rPr>
          <w:rFonts w:hint="eastAsia" w:ascii="仿宋" w:hAnsi="仿宋" w:eastAsia="仿宋" w:cs="仿宋"/>
          <w:b w:val="0"/>
          <w:color w:val="000000" w:themeColor="text1"/>
          <w:sz w:val="32"/>
          <w:szCs w:val="32"/>
          <w:highlight w:val="none"/>
          <w:lang w:val="en-US" w:eastAsia="zh-CN"/>
          <w14:textFill>
            <w14:solidFill>
              <w14:schemeClr w14:val="tx1"/>
            </w14:solidFill>
          </w14:textFill>
        </w:rPr>
        <w:t>前置研究事项</w:t>
      </w:r>
      <w:r>
        <w:rPr>
          <w:rFonts w:hint="eastAsia" w:ascii="仿宋" w:hAnsi="仿宋" w:eastAsia="仿宋" w:cs="仿宋"/>
          <w:b w:val="0"/>
          <w:color w:val="000000" w:themeColor="text1"/>
          <w:sz w:val="32"/>
          <w:szCs w:val="32"/>
          <w:highlight w:val="none"/>
          <w14:textFill>
            <w14:solidFill>
              <w14:schemeClr w14:val="tx1"/>
            </w14:solidFill>
          </w14:textFill>
        </w:rPr>
        <w:t>:</w:t>
      </w:r>
    </w:p>
    <w:p w14:paraId="7ADAA3D2">
      <w:pPr>
        <w:keepNext w:val="0"/>
        <w:keepLines w:val="0"/>
        <w:pageBreakBefore w:val="0"/>
        <w:widowControl w:val="0"/>
        <w:numPr>
          <w:ilvl w:val="0"/>
          <w:numId w:val="0"/>
        </w:numPr>
        <w:kinsoku/>
        <w:wordWrap/>
        <w:overflowPunct/>
        <w:topLinePunct w:val="0"/>
        <w:autoSpaceDE/>
        <w:autoSpaceDN/>
        <w:bidi w:val="0"/>
        <w:adjustRightInd/>
        <w:snapToGrid/>
        <w:spacing w:line="579" w:lineRule="exact"/>
        <w:ind w:firstLine="640" w:firstLineChars="200"/>
        <w:textAlignment w:val="auto"/>
        <w:rPr>
          <w:rFonts w:hint="eastAsia"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（一）贯彻党中央、自治区党委政府决策部署和落实国家、自治区发展战略的重大举措方面</w:t>
      </w:r>
    </w:p>
    <w:p w14:paraId="68775E01">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仿宋" w:hAnsi="仿宋" w:eastAsia="仿宋" w:cs="仿宋"/>
          <w:color w:val="000000" w:themeColor="text1"/>
          <w:sz w:val="32"/>
          <w:szCs w:val="32"/>
          <w:highlight w:val="none"/>
          <w:lang w:eastAsia="zh-CN"/>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1</w:t>
      </w:r>
      <w:r>
        <w:rPr>
          <w:rFonts w:hint="eastAsia" w:ascii="仿宋" w:hAnsi="仿宋" w:eastAsia="仿宋" w:cs="仿宋"/>
          <w:color w:val="000000" w:themeColor="text1"/>
          <w:sz w:val="32"/>
          <w:szCs w:val="32"/>
          <w:highlight w:val="none"/>
          <w:lang w:val="en-US" w:eastAsia="zh-CN"/>
          <w14:textFill>
            <w14:solidFill>
              <w14:schemeClr w14:val="tx1"/>
            </w14:solidFill>
          </w14:textFill>
        </w:rPr>
        <w:t>.</w:t>
      </w:r>
      <w:r>
        <w:rPr>
          <w:rFonts w:hint="eastAsia" w:ascii="仿宋" w:hAnsi="仿宋" w:eastAsia="仿宋" w:cs="仿宋"/>
          <w:color w:val="000000" w:themeColor="text1"/>
          <w:sz w:val="32"/>
          <w:szCs w:val="32"/>
          <w:highlight w:val="none"/>
          <w14:textFill>
            <w14:solidFill>
              <w14:schemeClr w14:val="tx1"/>
            </w14:solidFill>
          </w14:textFill>
        </w:rPr>
        <w:t>贯彻落实习近平新时代中国特色社会主义思想和习近平总书记关于内蒙古工作、国企国资改革发展重要讲话、重要指示批示精神</w:t>
      </w:r>
      <w:r>
        <w:rPr>
          <w:rFonts w:hint="eastAsia" w:ascii="仿宋" w:hAnsi="仿宋" w:eastAsia="仿宋" w:cs="仿宋"/>
          <w:color w:val="000000" w:themeColor="text1"/>
          <w:sz w:val="32"/>
          <w:szCs w:val="32"/>
          <w:highlight w:val="none"/>
          <w:lang w:eastAsia="zh-CN"/>
          <w14:textFill>
            <w14:solidFill>
              <w14:schemeClr w14:val="tx1"/>
            </w14:solidFill>
          </w14:textFill>
        </w:rPr>
        <w:t>；</w:t>
      </w:r>
    </w:p>
    <w:p w14:paraId="23C8F41A">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2.围绕坚持新发展理念，推动供给侧结构性改革，研究提出推动全面深化改革、强化创新驱动、提高经营管理水平的路径方向；</w:t>
      </w:r>
    </w:p>
    <w:p w14:paraId="697ACB8E">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仿宋" w:hAnsi="仿宋" w:eastAsia="仿宋" w:cs="仿宋"/>
          <w:color w:val="000000" w:themeColor="text1"/>
          <w:sz w:val="32"/>
          <w:szCs w:val="32"/>
          <w:highlight w:val="none"/>
          <w:lang w:eastAsia="zh-CN"/>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3</w:t>
      </w:r>
      <w:r>
        <w:rPr>
          <w:rFonts w:hint="eastAsia" w:ascii="仿宋" w:hAnsi="仿宋" w:eastAsia="仿宋" w:cs="仿宋"/>
          <w:color w:val="000000" w:themeColor="text1"/>
          <w:sz w:val="32"/>
          <w:szCs w:val="32"/>
          <w:highlight w:val="none"/>
          <w:lang w:val="en-US" w:eastAsia="zh-CN"/>
          <w14:textFill>
            <w14:solidFill>
              <w14:schemeClr w14:val="tx1"/>
            </w14:solidFill>
          </w14:textFill>
        </w:rPr>
        <w:t>.贯</w:t>
      </w:r>
      <w:r>
        <w:rPr>
          <w:rFonts w:hint="eastAsia" w:ascii="仿宋" w:hAnsi="仿宋" w:eastAsia="仿宋" w:cs="仿宋"/>
          <w:color w:val="000000" w:themeColor="text1"/>
          <w:sz w:val="32"/>
          <w:szCs w:val="32"/>
          <w:highlight w:val="none"/>
          <w14:textFill>
            <w14:solidFill>
              <w14:schemeClr w14:val="tx1"/>
            </w14:solidFill>
          </w14:textFill>
        </w:rPr>
        <w:t>彻企业总体发展布局，研究提出推动国有资本保值增值和企业提质增效稳增长的思路举措，推动企业高质量发展</w:t>
      </w:r>
      <w:r>
        <w:rPr>
          <w:rFonts w:hint="eastAsia" w:ascii="仿宋" w:hAnsi="仿宋" w:eastAsia="仿宋" w:cs="仿宋"/>
          <w:color w:val="000000" w:themeColor="text1"/>
          <w:sz w:val="32"/>
          <w:szCs w:val="32"/>
          <w:highlight w:val="none"/>
          <w:lang w:eastAsia="zh-CN"/>
          <w14:textFill>
            <w14:solidFill>
              <w14:schemeClr w14:val="tx1"/>
            </w14:solidFill>
          </w14:textFill>
        </w:rPr>
        <w:t>。</w:t>
      </w:r>
    </w:p>
    <w:p w14:paraId="0EB991CA">
      <w:pPr>
        <w:keepNext w:val="0"/>
        <w:keepLines w:val="0"/>
        <w:pageBreakBefore w:val="0"/>
        <w:widowControl w:val="0"/>
        <w:numPr>
          <w:ilvl w:val="0"/>
          <w:numId w:val="0"/>
        </w:numPr>
        <w:kinsoku/>
        <w:wordWrap/>
        <w:overflowPunct/>
        <w:topLinePunct w:val="0"/>
        <w:autoSpaceDE/>
        <w:autoSpaceDN/>
        <w:bidi w:val="0"/>
        <w:adjustRightInd/>
        <w:snapToGrid/>
        <w:spacing w:line="579" w:lineRule="exact"/>
        <w:ind w:firstLine="640" w:firstLineChars="200"/>
        <w:textAlignment w:val="auto"/>
        <w:rPr>
          <w:rFonts w:hint="eastAsia"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（二）企业发展战</w:t>
      </w:r>
      <w:r>
        <w:rPr>
          <w:rFonts w:hint="eastAsia" w:ascii="仿宋" w:hAnsi="仿宋" w:eastAsia="仿宋" w:cs="仿宋"/>
          <w:color w:val="000000" w:themeColor="text1"/>
          <w:sz w:val="32"/>
          <w:szCs w:val="32"/>
          <w:highlight w:val="none"/>
          <w:lang w:val="en-US" w:eastAsia="zh-CN"/>
          <w14:textFill>
            <w14:solidFill>
              <w14:schemeClr w14:val="tx1"/>
            </w14:solidFill>
          </w14:textFill>
        </w:rPr>
        <w:t>略</w:t>
      </w:r>
      <w:r>
        <w:rPr>
          <w:rFonts w:hint="eastAsia" w:ascii="仿宋" w:hAnsi="仿宋" w:eastAsia="仿宋" w:cs="仿宋"/>
          <w:color w:val="000000" w:themeColor="text1"/>
          <w:sz w:val="32"/>
          <w:szCs w:val="32"/>
          <w:highlight w:val="none"/>
          <w14:textFill>
            <w14:solidFill>
              <w14:schemeClr w14:val="tx1"/>
            </w14:solidFill>
          </w14:textFill>
        </w:rPr>
        <w:t>、中长期发展规划，重要改革方案方面</w:t>
      </w:r>
    </w:p>
    <w:p w14:paraId="6FFDC5C1">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4</w:t>
      </w:r>
      <w:r>
        <w:rPr>
          <w:rFonts w:hint="eastAsia" w:ascii="仿宋" w:hAnsi="仿宋" w:eastAsia="仿宋" w:cs="仿宋"/>
          <w:color w:val="000000" w:themeColor="text1"/>
          <w:sz w:val="32"/>
          <w:szCs w:val="32"/>
          <w:highlight w:val="none"/>
          <w:lang w:val="en-US" w:eastAsia="zh-CN"/>
          <w14:textFill>
            <w14:solidFill>
              <w14:schemeClr w14:val="tx1"/>
            </w14:solidFill>
          </w14:textFill>
        </w:rPr>
        <w:t>.集团</w:t>
      </w:r>
      <w:r>
        <w:rPr>
          <w:rFonts w:hint="eastAsia" w:ascii="仿宋" w:hAnsi="仿宋" w:eastAsia="仿宋" w:cs="仿宋"/>
          <w:color w:val="000000" w:themeColor="text1"/>
          <w:sz w:val="32"/>
          <w:szCs w:val="32"/>
          <w:highlight w:val="none"/>
          <w14:textFill>
            <w14:solidFill>
              <w14:schemeClr w14:val="tx1"/>
            </w14:solidFill>
          </w14:textFill>
        </w:rPr>
        <w:t>生产经营方针、发展战略和中长期发展规划，以及重大投融资规划；</w:t>
      </w:r>
    </w:p>
    <w:p w14:paraId="6B2FF1F4">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仿宋" w:hAnsi="仿宋" w:eastAsia="仿宋" w:cs="仿宋"/>
          <w:color w:val="000000" w:themeColor="text1"/>
          <w:sz w:val="32"/>
          <w:szCs w:val="32"/>
          <w:highlight w:val="none"/>
          <w:lang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5.集团</w:t>
      </w:r>
      <w:r>
        <w:rPr>
          <w:rFonts w:hint="eastAsia" w:ascii="仿宋" w:hAnsi="仿宋" w:eastAsia="仿宋" w:cs="仿宋"/>
          <w:color w:val="000000" w:themeColor="text1"/>
          <w:sz w:val="32"/>
          <w:szCs w:val="32"/>
          <w:highlight w:val="none"/>
          <w14:textFill>
            <w14:solidFill>
              <w14:schemeClr w14:val="tx1"/>
            </w14:solidFill>
          </w14:textFill>
        </w:rPr>
        <w:t>治理机制改革方</w:t>
      </w:r>
      <w:r>
        <w:rPr>
          <w:rFonts w:hint="eastAsia" w:ascii="仿宋" w:hAnsi="仿宋" w:eastAsia="仿宋" w:cs="仿宋"/>
          <w:color w:val="000000" w:themeColor="text1"/>
          <w:sz w:val="32"/>
          <w:szCs w:val="32"/>
          <w:highlight w:val="none"/>
          <w:lang w:val="en-US" w:eastAsia="zh-CN"/>
          <w14:textFill>
            <w14:solidFill>
              <w14:schemeClr w14:val="tx1"/>
            </w14:solidFill>
          </w14:textFill>
        </w:rPr>
        <w:t>案</w:t>
      </w:r>
      <w:r>
        <w:rPr>
          <w:rFonts w:hint="eastAsia" w:ascii="仿宋" w:hAnsi="仿宋" w:eastAsia="仿宋" w:cs="仿宋"/>
          <w:color w:val="000000" w:themeColor="text1"/>
          <w:sz w:val="32"/>
          <w:szCs w:val="32"/>
          <w:highlight w:val="none"/>
          <w14:textFill>
            <w14:solidFill>
              <w14:schemeClr w14:val="tx1"/>
            </w14:solidFill>
          </w14:textFill>
        </w:rPr>
        <w:t>、提质增效工作方案等重要改革方案</w:t>
      </w:r>
      <w:r>
        <w:rPr>
          <w:rFonts w:hint="eastAsia" w:ascii="仿宋" w:hAnsi="仿宋" w:eastAsia="仿宋" w:cs="仿宋"/>
          <w:color w:val="000000" w:themeColor="text1"/>
          <w:sz w:val="32"/>
          <w:szCs w:val="32"/>
          <w:highlight w:val="none"/>
          <w:lang w:eastAsia="zh-CN"/>
          <w14:textFill>
            <w14:solidFill>
              <w14:schemeClr w14:val="tx1"/>
            </w14:solidFill>
          </w14:textFill>
        </w:rPr>
        <w:t>；</w:t>
      </w:r>
    </w:p>
    <w:p w14:paraId="3C5D19F3">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仿宋" w:hAnsi="仿宋" w:eastAsia="仿宋" w:cs="仿宋"/>
          <w:color w:val="000000" w:themeColor="text1"/>
          <w:sz w:val="32"/>
          <w:szCs w:val="32"/>
          <w:highlight w:val="none"/>
          <w:lang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6.集团</w:t>
      </w:r>
      <w:r>
        <w:rPr>
          <w:rFonts w:hint="eastAsia" w:ascii="仿宋" w:hAnsi="仿宋" w:eastAsia="仿宋" w:cs="仿宋"/>
          <w:color w:val="000000" w:themeColor="text1"/>
          <w:sz w:val="32"/>
          <w:szCs w:val="32"/>
          <w:highlight w:val="none"/>
          <w14:textFill>
            <w14:solidFill>
              <w14:schemeClr w14:val="tx1"/>
            </w14:solidFill>
          </w14:textFill>
        </w:rPr>
        <w:t>董事会年度工作报告、经理层年度工作报告</w:t>
      </w:r>
      <w:r>
        <w:rPr>
          <w:rFonts w:hint="eastAsia" w:ascii="仿宋" w:hAnsi="仿宋" w:eastAsia="仿宋" w:cs="仿宋"/>
          <w:color w:val="000000" w:themeColor="text1"/>
          <w:sz w:val="32"/>
          <w:szCs w:val="32"/>
          <w:highlight w:val="none"/>
          <w:lang w:eastAsia="zh-CN"/>
          <w14:textFill>
            <w14:solidFill>
              <w14:schemeClr w14:val="tx1"/>
            </w14:solidFill>
          </w14:textFill>
        </w:rPr>
        <w:t>；</w:t>
      </w:r>
      <w:r>
        <w:rPr>
          <w:rFonts w:hint="eastAsia" w:ascii="仿宋" w:hAnsi="仿宋" w:eastAsia="仿宋" w:cs="仿宋"/>
          <w:color w:val="000000" w:themeColor="text1"/>
          <w:sz w:val="32"/>
          <w:szCs w:val="32"/>
          <w:highlight w:val="none"/>
          <w:lang w:val="en-US" w:eastAsia="zh-CN"/>
          <w14:textFill>
            <w14:solidFill>
              <w14:schemeClr w14:val="tx1"/>
            </w14:solidFill>
          </w14:textFill>
        </w:rPr>
        <w:t>集团年度党建工作报告、纪委工作报告，集团年度安全生产工作报告；集团</w:t>
      </w:r>
      <w:r>
        <w:rPr>
          <w:rFonts w:hint="eastAsia" w:ascii="仿宋" w:hAnsi="仿宋" w:eastAsia="仿宋" w:cs="仿宋"/>
          <w:color w:val="000000" w:themeColor="text1"/>
          <w:sz w:val="32"/>
          <w:szCs w:val="32"/>
          <w:highlight w:val="none"/>
          <w14:textFill>
            <w14:solidFill>
              <w14:schemeClr w14:val="tx1"/>
            </w14:solidFill>
          </w14:textFill>
        </w:rPr>
        <w:t>年度依法治企工作报告、年度内部控制体系工作报告；</w:t>
      </w:r>
    </w:p>
    <w:p w14:paraId="10DFB34C">
      <w:pPr>
        <w:keepNext w:val="0"/>
        <w:keepLines w:val="0"/>
        <w:pageBreakBefore w:val="0"/>
        <w:widowControl w:val="0"/>
        <w:numPr>
          <w:ilvl w:val="0"/>
          <w:numId w:val="0"/>
        </w:numPr>
        <w:kinsoku/>
        <w:wordWrap/>
        <w:overflowPunct/>
        <w:topLinePunct w:val="0"/>
        <w:autoSpaceDE/>
        <w:autoSpaceDN/>
        <w:bidi w:val="0"/>
        <w:adjustRightInd/>
        <w:snapToGrid/>
        <w:spacing w:line="579" w:lineRule="exact"/>
        <w:ind w:firstLine="640" w:firstLineChars="200"/>
        <w:textAlignment w:val="auto"/>
        <w:rPr>
          <w:rFonts w:hint="eastAsia"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（三）资产重组、产权转让、资本运作和大额投资使用中的重大问题方面</w:t>
      </w:r>
    </w:p>
    <w:p w14:paraId="0F9AB1E0">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7.集团</w:t>
      </w:r>
      <w:r>
        <w:rPr>
          <w:rFonts w:hint="eastAsia" w:ascii="仿宋" w:hAnsi="仿宋" w:eastAsia="仿宋" w:cs="仿宋"/>
          <w:color w:val="000000" w:themeColor="text1"/>
          <w:sz w:val="32"/>
          <w:szCs w:val="32"/>
          <w:highlight w:val="none"/>
          <w14:textFill>
            <w14:solidFill>
              <w14:schemeClr w14:val="tx1"/>
            </w14:solidFill>
          </w14:textFill>
        </w:rPr>
        <w:t>年度预算方案</w:t>
      </w:r>
      <w:r>
        <w:rPr>
          <w:rFonts w:hint="eastAsia" w:ascii="仿宋" w:hAnsi="仿宋" w:eastAsia="仿宋" w:cs="仿宋"/>
          <w:color w:val="000000" w:themeColor="text1"/>
          <w:sz w:val="32"/>
          <w:szCs w:val="32"/>
          <w:highlight w:val="none"/>
          <w:lang w:val="en-US" w:eastAsia="zh-CN"/>
          <w14:textFill>
            <w14:solidFill>
              <w14:schemeClr w14:val="tx1"/>
            </w14:solidFill>
          </w14:textFill>
        </w:rPr>
        <w:t>的制定及变更</w:t>
      </w:r>
      <w:r>
        <w:rPr>
          <w:rFonts w:hint="eastAsia" w:ascii="仿宋" w:hAnsi="仿宋" w:eastAsia="仿宋" w:cs="仿宋"/>
          <w:color w:val="000000" w:themeColor="text1"/>
          <w:sz w:val="32"/>
          <w:szCs w:val="32"/>
          <w:highlight w:val="none"/>
          <w14:textFill>
            <w14:solidFill>
              <w14:schemeClr w14:val="tx1"/>
            </w14:solidFill>
          </w14:textFill>
        </w:rPr>
        <w:t>、年度财务决算报告</w:t>
      </w:r>
      <w:r>
        <w:rPr>
          <w:rFonts w:hint="eastAsia" w:ascii="仿宋" w:hAnsi="仿宋" w:eastAsia="仿宋" w:cs="仿宋"/>
          <w:color w:val="000000" w:themeColor="text1"/>
          <w:sz w:val="32"/>
          <w:szCs w:val="32"/>
          <w:highlight w:val="none"/>
          <w:lang w:eastAsia="zh-CN"/>
          <w14:textFill>
            <w14:solidFill>
              <w14:schemeClr w14:val="tx1"/>
            </w14:solidFill>
          </w14:textFill>
        </w:rPr>
        <w:t>、</w:t>
      </w:r>
      <w:r>
        <w:rPr>
          <w:rFonts w:hint="eastAsia" w:ascii="仿宋" w:hAnsi="仿宋" w:eastAsia="仿宋" w:cs="仿宋"/>
          <w:color w:val="000000" w:themeColor="text1"/>
          <w:sz w:val="32"/>
          <w:szCs w:val="32"/>
          <w:highlight w:val="none"/>
          <w:lang w:val="en-US" w:eastAsia="zh-CN"/>
          <w14:textFill>
            <w14:solidFill>
              <w14:schemeClr w14:val="tx1"/>
            </w14:solidFill>
          </w14:textFill>
        </w:rPr>
        <w:t>年度投资计划的制定及变更</w:t>
      </w:r>
      <w:r>
        <w:rPr>
          <w:rFonts w:hint="eastAsia" w:ascii="仿宋" w:hAnsi="仿宋" w:eastAsia="仿宋" w:cs="仿宋"/>
          <w:color w:val="000000" w:themeColor="text1"/>
          <w:sz w:val="32"/>
          <w:szCs w:val="32"/>
          <w:highlight w:val="none"/>
          <w14:textFill>
            <w14:solidFill>
              <w14:schemeClr w14:val="tx1"/>
            </w14:solidFill>
          </w14:textFill>
        </w:rPr>
        <w:t>；</w:t>
      </w:r>
    </w:p>
    <w:p w14:paraId="020E3131">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8.集团</w:t>
      </w:r>
      <w:r>
        <w:rPr>
          <w:rFonts w:hint="eastAsia" w:ascii="仿宋" w:hAnsi="仿宋" w:eastAsia="仿宋" w:cs="仿宋"/>
          <w:color w:val="000000" w:themeColor="text1"/>
          <w:sz w:val="32"/>
          <w:szCs w:val="32"/>
          <w:highlight w:val="none"/>
          <w14:textFill>
            <w14:solidFill>
              <w14:schemeClr w14:val="tx1"/>
            </w14:solidFill>
          </w14:textFill>
        </w:rPr>
        <w:t>所属全资、控股企业年度经营业绩指标及目标值的确定</w:t>
      </w:r>
      <w:r>
        <w:rPr>
          <w:rFonts w:hint="eastAsia" w:ascii="仿宋" w:hAnsi="仿宋" w:eastAsia="仿宋" w:cs="仿宋"/>
          <w:color w:val="000000" w:themeColor="text1"/>
          <w:sz w:val="32"/>
          <w:szCs w:val="32"/>
          <w:highlight w:val="none"/>
          <w:lang w:val="en-US" w:eastAsia="zh-CN"/>
          <w14:textFill>
            <w14:solidFill>
              <w14:schemeClr w14:val="tx1"/>
            </w14:solidFill>
          </w14:textFill>
        </w:rPr>
        <w:t>及变更</w:t>
      </w:r>
      <w:r>
        <w:rPr>
          <w:rFonts w:hint="eastAsia" w:ascii="仿宋" w:hAnsi="仿宋" w:eastAsia="仿宋" w:cs="仿宋"/>
          <w:color w:val="000000" w:themeColor="text1"/>
          <w:sz w:val="32"/>
          <w:szCs w:val="32"/>
          <w:highlight w:val="none"/>
          <w14:textFill>
            <w14:solidFill>
              <w14:schemeClr w14:val="tx1"/>
            </w14:solidFill>
          </w14:textFill>
        </w:rPr>
        <w:t>；</w:t>
      </w:r>
    </w:p>
    <w:p w14:paraId="38017AE5">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9.</w:t>
      </w:r>
      <w:r>
        <w:rPr>
          <w:rFonts w:hint="eastAsia" w:ascii="仿宋" w:hAnsi="仿宋" w:eastAsia="仿宋" w:cs="仿宋"/>
          <w:color w:val="000000" w:themeColor="text1"/>
          <w:sz w:val="32"/>
          <w:szCs w:val="32"/>
          <w:highlight w:val="none"/>
          <w:lang w:eastAsia="zh-CN"/>
          <w14:textFill>
            <w14:solidFill>
              <w14:schemeClr w14:val="tx1"/>
            </w14:solidFill>
          </w14:textFill>
        </w:rPr>
        <w:t>集团及所属</w:t>
      </w:r>
      <w:r>
        <w:rPr>
          <w:rFonts w:hint="eastAsia" w:ascii="仿宋" w:hAnsi="仿宋" w:eastAsia="仿宋" w:cs="仿宋"/>
          <w:color w:val="000000" w:themeColor="text1"/>
          <w:sz w:val="32"/>
          <w:szCs w:val="32"/>
          <w:highlight w:val="none"/>
          <w14:textFill>
            <w14:solidFill>
              <w14:schemeClr w14:val="tx1"/>
            </w14:solidFill>
          </w14:textFill>
        </w:rPr>
        <w:t>全资、控股企业主业确定及变更，公司经营范围确定及变更，公司年度投资计划的确定及变更；</w:t>
      </w:r>
    </w:p>
    <w:p w14:paraId="187B4D6C">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1</w:t>
      </w:r>
      <w:r>
        <w:rPr>
          <w:rFonts w:hint="eastAsia" w:ascii="仿宋" w:hAnsi="仿宋" w:eastAsia="仿宋" w:cs="仿宋"/>
          <w:color w:val="000000" w:themeColor="text1"/>
          <w:sz w:val="32"/>
          <w:szCs w:val="32"/>
          <w:highlight w:val="none"/>
          <w:lang w:val="en-US" w:eastAsia="zh-CN"/>
          <w14:textFill>
            <w14:solidFill>
              <w14:schemeClr w14:val="tx1"/>
            </w14:solidFill>
          </w14:textFill>
        </w:rPr>
        <w:t>0.集团</w:t>
      </w:r>
      <w:r>
        <w:rPr>
          <w:rFonts w:hint="eastAsia" w:ascii="仿宋" w:hAnsi="仿宋" w:eastAsia="仿宋" w:cs="仿宋"/>
          <w:color w:val="000000" w:themeColor="text1"/>
          <w:sz w:val="32"/>
          <w:szCs w:val="32"/>
          <w:highlight w:val="none"/>
          <w14:textFill>
            <w14:solidFill>
              <w14:schemeClr w14:val="tx1"/>
            </w14:solidFill>
          </w14:textFill>
        </w:rPr>
        <w:t>年度投资计划外的投资项目</w:t>
      </w:r>
      <w:r>
        <w:rPr>
          <w:rFonts w:hint="eastAsia" w:ascii="仿宋" w:hAnsi="仿宋" w:eastAsia="仿宋" w:cs="仿宋"/>
          <w:color w:val="000000" w:themeColor="text1"/>
          <w:sz w:val="32"/>
          <w:szCs w:val="32"/>
          <w:highlight w:val="none"/>
          <w:lang w:eastAsia="zh-CN"/>
          <w14:textFill>
            <w14:solidFill>
              <w14:schemeClr w14:val="tx1"/>
            </w14:solidFill>
          </w14:textFill>
        </w:rPr>
        <w:t>，</w:t>
      </w:r>
      <w:r>
        <w:rPr>
          <w:rFonts w:hint="eastAsia" w:ascii="仿宋" w:hAnsi="仿宋" w:eastAsia="仿宋" w:cs="仿宋"/>
          <w:color w:val="000000" w:themeColor="text1"/>
          <w:sz w:val="32"/>
          <w:szCs w:val="32"/>
          <w:highlight w:val="none"/>
          <w:lang w:val="en-US" w:eastAsia="zh-CN"/>
          <w14:textFill>
            <w14:solidFill>
              <w14:schemeClr w14:val="tx1"/>
            </w14:solidFill>
          </w14:textFill>
        </w:rPr>
        <w:t>包括100万以上的采购项目（服务类、货物类、固定资产类、工程维修类）；</w:t>
      </w:r>
      <w:r>
        <w:rPr>
          <w:rFonts w:hint="eastAsia" w:ascii="仿宋" w:hAnsi="仿宋" w:eastAsia="仿宋" w:cs="仿宋"/>
          <w:b w:val="0"/>
          <w:bCs w:val="0"/>
          <w:color w:val="000000" w:themeColor="text1"/>
          <w:sz w:val="32"/>
          <w:szCs w:val="32"/>
          <w:highlight w:val="none"/>
          <w:lang w:val="en-US" w:eastAsia="zh-CN"/>
          <w14:textFill>
            <w14:solidFill>
              <w14:schemeClr w14:val="tx1"/>
            </w14:solidFill>
          </w14:textFill>
        </w:rPr>
        <w:t>400万元（含）以上</w:t>
      </w:r>
      <w:r>
        <w:rPr>
          <w:rFonts w:hint="eastAsia" w:ascii="仿宋" w:hAnsi="仿宋" w:eastAsia="仿宋" w:cs="仿宋"/>
          <w:b w:val="0"/>
          <w:bCs w:val="0"/>
          <w:color w:val="000000" w:themeColor="text1"/>
          <w:sz w:val="32"/>
          <w:szCs w:val="32"/>
          <w:highlight w:val="none"/>
          <w14:textFill>
            <w14:solidFill>
              <w14:schemeClr w14:val="tx1"/>
            </w14:solidFill>
          </w14:textFill>
        </w:rPr>
        <w:t>重大工程建设项目，包括项目安排、工作计划、投资安排、储备安排及变更事项</w:t>
      </w:r>
      <w:r>
        <w:rPr>
          <w:rFonts w:hint="eastAsia" w:ascii="仿宋" w:hAnsi="仿宋" w:eastAsia="仿宋" w:cs="仿宋"/>
          <w:b w:val="0"/>
          <w:bCs w:val="0"/>
          <w:color w:val="000000" w:themeColor="text1"/>
          <w:sz w:val="32"/>
          <w:szCs w:val="32"/>
          <w:highlight w:val="none"/>
          <w:lang w:eastAsia="zh-CN"/>
          <w14:textFill>
            <w14:solidFill>
              <w14:schemeClr w14:val="tx1"/>
            </w14:solidFill>
          </w14:textFill>
        </w:rPr>
        <w:t>；</w:t>
      </w:r>
    </w:p>
    <w:p w14:paraId="6354988E">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1</w:t>
      </w:r>
      <w:r>
        <w:rPr>
          <w:rFonts w:hint="eastAsia" w:ascii="仿宋" w:hAnsi="仿宋" w:eastAsia="仿宋" w:cs="仿宋"/>
          <w:color w:val="000000" w:themeColor="text1"/>
          <w:sz w:val="32"/>
          <w:szCs w:val="32"/>
          <w:highlight w:val="none"/>
          <w:lang w:val="en-US" w:eastAsia="zh-CN"/>
          <w14:textFill>
            <w14:solidFill>
              <w14:schemeClr w14:val="tx1"/>
            </w14:solidFill>
          </w14:textFill>
        </w:rPr>
        <w:t>1.集团</w:t>
      </w:r>
      <w:r>
        <w:rPr>
          <w:rFonts w:hint="eastAsia" w:ascii="仿宋" w:hAnsi="仿宋" w:eastAsia="仿宋" w:cs="仿宋"/>
          <w:color w:val="000000" w:themeColor="text1"/>
          <w:sz w:val="32"/>
          <w:szCs w:val="32"/>
          <w:highlight w:val="none"/>
          <w14:textFill>
            <w14:solidFill>
              <w14:schemeClr w14:val="tx1"/>
            </w14:solidFill>
          </w14:textFill>
        </w:rPr>
        <w:t>及所属全资、控股企业合并、分立、解散或者变更公司形式，公司重大改革重组；</w:t>
      </w:r>
    </w:p>
    <w:p w14:paraId="6961D31E">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1</w:t>
      </w:r>
      <w:r>
        <w:rPr>
          <w:rFonts w:hint="eastAsia" w:ascii="仿宋" w:hAnsi="仿宋" w:eastAsia="仿宋" w:cs="仿宋"/>
          <w:color w:val="000000" w:themeColor="text1"/>
          <w:sz w:val="32"/>
          <w:szCs w:val="32"/>
          <w:highlight w:val="none"/>
          <w:lang w:val="en-US" w:eastAsia="zh-CN"/>
          <w14:textFill>
            <w14:solidFill>
              <w14:schemeClr w14:val="tx1"/>
            </w14:solidFill>
          </w14:textFill>
        </w:rPr>
        <w:t>2.集团</w:t>
      </w:r>
      <w:r>
        <w:rPr>
          <w:rFonts w:hint="eastAsia" w:ascii="仿宋" w:hAnsi="仿宋" w:eastAsia="仿宋" w:cs="仿宋"/>
          <w:color w:val="000000" w:themeColor="text1"/>
          <w:sz w:val="32"/>
          <w:szCs w:val="32"/>
          <w:highlight w:val="none"/>
          <w14:textFill>
            <w14:solidFill>
              <w14:schemeClr w14:val="tx1"/>
            </w14:solidFill>
          </w14:textFill>
        </w:rPr>
        <w:t>及所属全资、控股企业功能界定与分类方案；</w:t>
      </w:r>
    </w:p>
    <w:p w14:paraId="756D4440">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13.集团</w:t>
      </w:r>
      <w:r>
        <w:rPr>
          <w:rFonts w:hint="eastAsia" w:ascii="仿宋" w:hAnsi="仿宋" w:eastAsia="仿宋" w:cs="仿宋"/>
          <w:color w:val="000000" w:themeColor="text1"/>
          <w:sz w:val="32"/>
          <w:szCs w:val="32"/>
          <w:highlight w:val="none"/>
          <w14:textFill>
            <w14:solidFill>
              <w14:schemeClr w14:val="tx1"/>
            </w14:solidFill>
          </w14:textFill>
        </w:rPr>
        <w:t>及所属全资、控股企业国有股权比例由控股变为非控股或国有股权由参股变为控股的事项；</w:t>
      </w:r>
    </w:p>
    <w:p w14:paraId="664704C5">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1</w:t>
      </w:r>
      <w:r>
        <w:rPr>
          <w:rFonts w:hint="eastAsia" w:ascii="仿宋" w:hAnsi="仿宋" w:eastAsia="仿宋" w:cs="仿宋"/>
          <w:color w:val="000000" w:themeColor="text1"/>
          <w:sz w:val="32"/>
          <w:szCs w:val="32"/>
          <w:highlight w:val="none"/>
          <w:lang w:val="en-US" w:eastAsia="zh-CN"/>
          <w14:textFill>
            <w14:solidFill>
              <w14:schemeClr w14:val="tx1"/>
            </w14:solidFill>
          </w14:textFill>
        </w:rPr>
        <w:t>4.集团</w:t>
      </w:r>
      <w:r>
        <w:rPr>
          <w:rFonts w:hint="eastAsia" w:ascii="仿宋" w:hAnsi="仿宋" w:eastAsia="仿宋" w:cs="仿宋"/>
          <w:color w:val="000000" w:themeColor="text1"/>
          <w:sz w:val="32"/>
          <w:szCs w:val="32"/>
          <w:highlight w:val="none"/>
          <w14:textFill>
            <w14:solidFill>
              <w14:schemeClr w14:val="tx1"/>
            </w14:solidFill>
          </w14:textFill>
        </w:rPr>
        <w:t>利润分配方案和弥补亏损方案；</w:t>
      </w:r>
    </w:p>
    <w:p w14:paraId="6AB7E64D">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1</w:t>
      </w:r>
      <w:r>
        <w:rPr>
          <w:rFonts w:hint="eastAsia" w:ascii="仿宋" w:hAnsi="仿宋" w:eastAsia="仿宋" w:cs="仿宋"/>
          <w:color w:val="000000" w:themeColor="text1"/>
          <w:sz w:val="32"/>
          <w:szCs w:val="32"/>
          <w:highlight w:val="none"/>
          <w:lang w:val="en-US" w:eastAsia="zh-CN"/>
          <w14:textFill>
            <w14:solidFill>
              <w14:schemeClr w14:val="tx1"/>
            </w14:solidFill>
          </w14:textFill>
        </w:rPr>
        <w:t>5.集团</w:t>
      </w:r>
      <w:r>
        <w:rPr>
          <w:rFonts w:hint="eastAsia" w:ascii="仿宋" w:hAnsi="仿宋" w:eastAsia="仿宋" w:cs="仿宋"/>
          <w:color w:val="000000" w:themeColor="text1"/>
          <w:sz w:val="32"/>
          <w:szCs w:val="32"/>
          <w:highlight w:val="none"/>
          <w14:textFill>
            <w14:solidFill>
              <w14:schemeClr w14:val="tx1"/>
            </w14:solidFill>
          </w14:textFill>
        </w:rPr>
        <w:t>及所属全资、控股企业增加或减少注册资本，以资本公积、盈余公积转增注册资本；</w:t>
      </w:r>
    </w:p>
    <w:p w14:paraId="6B54D532">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1</w:t>
      </w:r>
      <w:r>
        <w:rPr>
          <w:rFonts w:hint="eastAsia" w:ascii="仿宋" w:hAnsi="仿宋" w:eastAsia="仿宋" w:cs="仿宋"/>
          <w:color w:val="000000" w:themeColor="text1"/>
          <w:sz w:val="32"/>
          <w:szCs w:val="32"/>
          <w:highlight w:val="none"/>
          <w:lang w:val="en-US" w:eastAsia="zh-CN"/>
          <w14:textFill>
            <w14:solidFill>
              <w14:schemeClr w14:val="tx1"/>
            </w14:solidFill>
          </w14:textFill>
        </w:rPr>
        <w:t>6.集团</w:t>
      </w:r>
      <w:r>
        <w:rPr>
          <w:rFonts w:hint="eastAsia" w:ascii="仿宋" w:hAnsi="仿宋" w:eastAsia="仿宋" w:cs="仿宋"/>
          <w:color w:val="000000" w:themeColor="text1"/>
          <w:sz w:val="32"/>
          <w:szCs w:val="32"/>
          <w:highlight w:val="none"/>
          <w14:textFill>
            <w14:solidFill>
              <w14:schemeClr w14:val="tx1"/>
            </w14:solidFill>
          </w14:textFill>
        </w:rPr>
        <w:t>产权(资产)对外非公开协议转让、无</w:t>
      </w:r>
      <w:r>
        <w:rPr>
          <w:rFonts w:hint="eastAsia" w:ascii="仿宋" w:hAnsi="仿宋" w:eastAsia="仿宋" w:cs="仿宋"/>
          <w:color w:val="000000" w:themeColor="text1"/>
          <w:sz w:val="32"/>
          <w:szCs w:val="32"/>
          <w:highlight w:val="none"/>
          <w:lang w:val="en-US" w:eastAsia="zh-CN"/>
          <w14:textFill>
            <w14:solidFill>
              <w14:schemeClr w14:val="tx1"/>
            </w14:solidFill>
          </w14:textFill>
        </w:rPr>
        <w:t>偿</w:t>
      </w:r>
      <w:r>
        <w:rPr>
          <w:rFonts w:hint="eastAsia" w:ascii="仿宋" w:hAnsi="仿宋" w:eastAsia="仿宋" w:cs="仿宋"/>
          <w:color w:val="000000" w:themeColor="text1"/>
          <w:sz w:val="32"/>
          <w:szCs w:val="32"/>
          <w:highlight w:val="none"/>
          <w14:textFill>
            <w14:solidFill>
              <w14:schemeClr w14:val="tx1"/>
            </w14:solidFill>
          </w14:textFill>
        </w:rPr>
        <w:t>划转及公开进场转让事项；</w:t>
      </w:r>
    </w:p>
    <w:p w14:paraId="5EA31899">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1</w:t>
      </w:r>
      <w:r>
        <w:rPr>
          <w:rFonts w:hint="eastAsia" w:ascii="仿宋" w:hAnsi="仿宋" w:eastAsia="仿宋" w:cs="仿宋"/>
          <w:color w:val="000000" w:themeColor="text1"/>
          <w:sz w:val="32"/>
          <w:szCs w:val="32"/>
          <w:highlight w:val="none"/>
          <w:lang w:val="en-US" w:eastAsia="zh-CN"/>
          <w14:textFill>
            <w14:solidFill>
              <w14:schemeClr w14:val="tx1"/>
            </w14:solidFill>
          </w14:textFill>
        </w:rPr>
        <w:t>7.集团</w:t>
      </w:r>
      <w:r>
        <w:rPr>
          <w:rFonts w:hint="eastAsia" w:ascii="仿宋" w:hAnsi="仿宋" w:eastAsia="仿宋" w:cs="仿宋"/>
          <w:color w:val="000000" w:themeColor="text1"/>
          <w:sz w:val="32"/>
          <w:szCs w:val="32"/>
          <w:highlight w:val="none"/>
          <w14:textFill>
            <w14:solidFill>
              <w14:schemeClr w14:val="tx1"/>
            </w14:solidFill>
          </w14:textFill>
        </w:rPr>
        <w:t>内部重组整合进行的产权(资产)非公开协议转让、无偿划转事项；</w:t>
      </w:r>
    </w:p>
    <w:p w14:paraId="77237B59">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1</w:t>
      </w:r>
      <w:r>
        <w:rPr>
          <w:rFonts w:hint="eastAsia" w:ascii="仿宋" w:hAnsi="仿宋" w:eastAsia="仿宋" w:cs="仿宋"/>
          <w:color w:val="000000" w:themeColor="text1"/>
          <w:sz w:val="32"/>
          <w:szCs w:val="32"/>
          <w:highlight w:val="none"/>
          <w:lang w:val="en-US" w:eastAsia="zh-CN"/>
          <w14:textFill>
            <w14:solidFill>
              <w14:schemeClr w14:val="tx1"/>
            </w14:solidFill>
          </w14:textFill>
        </w:rPr>
        <w:t>8.集团</w:t>
      </w:r>
      <w:r>
        <w:rPr>
          <w:rFonts w:hint="eastAsia" w:ascii="仿宋" w:hAnsi="仿宋" w:eastAsia="仿宋" w:cs="仿宋"/>
          <w:color w:val="000000" w:themeColor="text1"/>
          <w:sz w:val="32"/>
          <w:szCs w:val="32"/>
          <w:highlight w:val="none"/>
          <w14:textFill>
            <w14:solidFill>
              <w14:schemeClr w14:val="tx1"/>
            </w14:solidFill>
          </w14:textFill>
        </w:rPr>
        <w:t>融资事宜及对外重大借款事项；</w:t>
      </w:r>
    </w:p>
    <w:p w14:paraId="45B46678">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lang w:eastAsia="zh-CN"/>
          <w14:textFill>
            <w14:solidFill>
              <w14:schemeClr w14:val="tx1"/>
            </w14:solidFill>
          </w14:textFill>
        </w:rPr>
        <w:t>19</w:t>
      </w:r>
      <w:r>
        <w:rPr>
          <w:rFonts w:hint="eastAsia" w:ascii="仿宋" w:hAnsi="仿宋" w:eastAsia="仿宋" w:cs="仿宋"/>
          <w:color w:val="000000" w:themeColor="text1"/>
          <w:sz w:val="32"/>
          <w:szCs w:val="32"/>
          <w:highlight w:val="none"/>
          <w:lang w:val="en-US" w:eastAsia="zh-CN"/>
          <w14:textFill>
            <w14:solidFill>
              <w14:schemeClr w14:val="tx1"/>
            </w14:solidFill>
          </w14:textFill>
        </w:rPr>
        <w:t>.集团</w:t>
      </w:r>
      <w:r>
        <w:rPr>
          <w:rFonts w:hint="eastAsia" w:ascii="仿宋" w:hAnsi="仿宋" w:eastAsia="仿宋" w:cs="仿宋"/>
          <w:color w:val="000000" w:themeColor="text1"/>
          <w:sz w:val="32"/>
          <w:szCs w:val="32"/>
          <w:highlight w:val="none"/>
          <w14:textFill>
            <w14:solidFill>
              <w14:schemeClr w14:val="tx1"/>
            </w14:solidFill>
          </w14:textFill>
        </w:rPr>
        <w:t>对外重大担保事项、重大关联交易事项、</w:t>
      </w:r>
      <w:r>
        <w:rPr>
          <w:rFonts w:hint="eastAsia" w:ascii="仿宋" w:hAnsi="仿宋" w:eastAsia="仿宋" w:cs="仿宋"/>
          <w:b w:val="0"/>
          <w:color w:val="000000" w:themeColor="text1"/>
          <w:sz w:val="32"/>
          <w:szCs w:val="32"/>
          <w:highlight w:val="none"/>
          <w:lang w:val="en-US" w:eastAsia="zh-CN"/>
          <w14:textFill>
            <w14:solidFill>
              <w14:schemeClr w14:val="tx1"/>
            </w14:solidFill>
          </w14:textFill>
        </w:rPr>
        <w:t>100万元（含）以上</w:t>
      </w:r>
      <w:r>
        <w:rPr>
          <w:rFonts w:hint="eastAsia" w:ascii="仿宋" w:hAnsi="仿宋" w:eastAsia="仿宋" w:cs="仿宋"/>
          <w:color w:val="000000" w:themeColor="text1"/>
          <w:sz w:val="32"/>
          <w:szCs w:val="32"/>
          <w:highlight w:val="none"/>
          <w14:textFill>
            <w14:solidFill>
              <w14:schemeClr w14:val="tx1"/>
            </w14:solidFill>
          </w14:textFill>
        </w:rPr>
        <w:t>预算外大额资金使用事项；</w:t>
      </w:r>
    </w:p>
    <w:p w14:paraId="62272C7C">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仿宋" w:hAnsi="仿宋" w:eastAsia="仿宋" w:cs="仿宋"/>
          <w:b w:val="0"/>
          <w:bCs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eastAsia="zh-CN"/>
          <w14:textFill>
            <w14:solidFill>
              <w14:schemeClr w14:val="tx1"/>
            </w14:solidFill>
          </w14:textFill>
        </w:rPr>
        <w:t>20</w:t>
      </w:r>
      <w:r>
        <w:rPr>
          <w:rFonts w:hint="eastAsia" w:ascii="仿宋" w:hAnsi="仿宋" w:eastAsia="仿宋" w:cs="仿宋"/>
          <w:color w:val="000000" w:themeColor="text1"/>
          <w:sz w:val="32"/>
          <w:szCs w:val="32"/>
          <w:highlight w:val="none"/>
          <w:lang w:val="en-US" w:eastAsia="zh-CN"/>
          <w14:textFill>
            <w14:solidFill>
              <w14:schemeClr w14:val="tx1"/>
            </w14:solidFill>
          </w14:textFill>
        </w:rPr>
        <w:t>.</w:t>
      </w:r>
      <w:r>
        <w:rPr>
          <w:rFonts w:hint="eastAsia" w:ascii="仿宋" w:hAnsi="仿宋" w:eastAsia="仿宋" w:cs="仿宋"/>
          <w:b w:val="0"/>
          <w:bCs w:val="0"/>
          <w:color w:val="000000" w:themeColor="text1"/>
          <w:sz w:val="32"/>
          <w:szCs w:val="32"/>
          <w:highlight w:val="none"/>
          <w:lang w:val="en-US" w:eastAsia="zh-CN"/>
          <w14:textFill>
            <w14:solidFill>
              <w14:schemeClr w14:val="tx1"/>
            </w14:solidFill>
          </w14:textFill>
        </w:rPr>
        <w:t>集团公司</w:t>
      </w:r>
      <w:r>
        <w:rPr>
          <w:rFonts w:hint="eastAsia" w:ascii="仿宋" w:hAnsi="仿宋" w:eastAsia="仿宋" w:cs="仿宋"/>
          <w:b w:val="0"/>
          <w:bCs w:val="0"/>
          <w:color w:val="000000" w:themeColor="text1"/>
          <w:sz w:val="32"/>
          <w:szCs w:val="32"/>
          <w:highlight w:val="none"/>
          <w14:textFill>
            <w14:solidFill>
              <w14:schemeClr w14:val="tx1"/>
            </w14:solidFill>
          </w14:textFill>
        </w:rPr>
        <w:t>预算外的对外捐赠</w:t>
      </w:r>
      <w:r>
        <w:rPr>
          <w:rFonts w:hint="eastAsia" w:ascii="仿宋" w:hAnsi="仿宋" w:eastAsia="仿宋" w:cs="仿宋"/>
          <w:b w:val="0"/>
          <w:bCs w:val="0"/>
          <w:color w:val="000000" w:themeColor="text1"/>
          <w:sz w:val="32"/>
          <w:szCs w:val="32"/>
          <w:highlight w:val="none"/>
          <w:lang w:val="en-US" w:eastAsia="zh-CN"/>
          <w14:textFill>
            <w14:solidFill>
              <w14:schemeClr w14:val="tx1"/>
            </w14:solidFill>
          </w14:textFill>
        </w:rPr>
        <w:t>事宜，50万元（含）以上的支援、赞助（款、物）等</w:t>
      </w:r>
      <w:r>
        <w:rPr>
          <w:rFonts w:hint="eastAsia" w:ascii="仿宋" w:hAnsi="仿宋" w:eastAsia="仿宋" w:cs="仿宋"/>
          <w:b w:val="0"/>
          <w:bCs w:val="0"/>
          <w:color w:val="000000" w:themeColor="text1"/>
          <w:sz w:val="32"/>
          <w:szCs w:val="32"/>
          <w:highlight w:val="none"/>
          <w14:textFill>
            <w14:solidFill>
              <w14:schemeClr w14:val="tx1"/>
            </w14:solidFill>
          </w14:textFill>
        </w:rPr>
        <w:t>事项</w:t>
      </w:r>
      <w:r>
        <w:rPr>
          <w:rFonts w:hint="eastAsia" w:ascii="仿宋" w:hAnsi="仿宋" w:eastAsia="仿宋" w:cs="仿宋"/>
          <w:b w:val="0"/>
          <w:bCs w:val="0"/>
          <w:color w:val="000000" w:themeColor="text1"/>
          <w:sz w:val="32"/>
          <w:szCs w:val="32"/>
          <w:highlight w:val="none"/>
          <w:lang w:eastAsia="zh-CN"/>
          <w14:textFill>
            <w14:solidFill>
              <w14:schemeClr w14:val="tx1"/>
            </w14:solidFill>
          </w14:textFill>
        </w:rPr>
        <w:t>，</w:t>
      </w:r>
      <w:r>
        <w:rPr>
          <w:rFonts w:hint="eastAsia" w:ascii="仿宋" w:hAnsi="仿宋" w:eastAsia="仿宋" w:cs="仿宋"/>
          <w:b w:val="0"/>
          <w:bCs w:val="0"/>
          <w:color w:val="000000" w:themeColor="text1"/>
          <w:sz w:val="32"/>
          <w:szCs w:val="32"/>
          <w:highlight w:val="none"/>
          <w:lang w:val="en-US" w:eastAsia="zh-CN"/>
          <w14:textFill>
            <w14:solidFill>
              <w14:schemeClr w14:val="tx1"/>
            </w14:solidFill>
          </w14:textFill>
        </w:rPr>
        <w:t>以及</w:t>
      </w:r>
      <w:r>
        <w:rPr>
          <w:rFonts w:hint="eastAsia" w:ascii="仿宋" w:hAnsi="仿宋" w:eastAsia="仿宋" w:cs="仿宋"/>
          <w:b w:val="0"/>
          <w:bCs w:val="0"/>
          <w:color w:val="000000" w:themeColor="text1"/>
          <w:sz w:val="32"/>
          <w:szCs w:val="32"/>
          <w:highlight w:val="none"/>
          <w14:textFill>
            <w14:solidFill>
              <w14:schemeClr w14:val="tx1"/>
            </w14:solidFill>
          </w14:textFill>
        </w:rPr>
        <w:t>放弃重大权益事项</w:t>
      </w:r>
      <w:r>
        <w:rPr>
          <w:rFonts w:hint="eastAsia" w:ascii="仿宋" w:hAnsi="仿宋" w:eastAsia="仿宋" w:cs="仿宋"/>
          <w:b w:val="0"/>
          <w:bCs w:val="0"/>
          <w:color w:val="000000" w:themeColor="text1"/>
          <w:sz w:val="32"/>
          <w:szCs w:val="32"/>
          <w:highlight w:val="none"/>
          <w:lang w:eastAsia="zh-CN"/>
          <w14:textFill>
            <w14:solidFill>
              <w14:schemeClr w14:val="tx1"/>
            </w14:solidFill>
          </w14:textFill>
        </w:rPr>
        <w:t>。</w:t>
      </w:r>
    </w:p>
    <w:p w14:paraId="769A50C9">
      <w:pPr>
        <w:keepNext w:val="0"/>
        <w:keepLines w:val="0"/>
        <w:pageBreakBefore w:val="0"/>
        <w:widowControl w:val="0"/>
        <w:numPr>
          <w:ilvl w:val="0"/>
          <w:numId w:val="0"/>
        </w:numPr>
        <w:kinsoku/>
        <w:wordWrap/>
        <w:overflowPunct/>
        <w:topLinePunct w:val="0"/>
        <w:autoSpaceDE/>
        <w:autoSpaceDN/>
        <w:bidi w:val="0"/>
        <w:adjustRightInd/>
        <w:snapToGrid/>
        <w:spacing w:line="579" w:lineRule="exact"/>
        <w:ind w:firstLine="640" w:firstLineChars="200"/>
        <w:textAlignment w:val="auto"/>
        <w:rPr>
          <w:rFonts w:hint="eastAsia"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（四）组织架构设置和调整，重要规章制度的制定和修改方面</w:t>
      </w:r>
    </w:p>
    <w:p w14:paraId="3A78ED74">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2</w:t>
      </w:r>
      <w:r>
        <w:rPr>
          <w:rFonts w:hint="eastAsia" w:ascii="仿宋" w:hAnsi="仿宋" w:eastAsia="仿宋" w:cs="仿宋"/>
          <w:color w:val="000000" w:themeColor="text1"/>
          <w:sz w:val="32"/>
          <w:szCs w:val="32"/>
          <w:highlight w:val="none"/>
          <w:lang w:val="en-US" w:eastAsia="zh-CN"/>
          <w14:textFill>
            <w14:solidFill>
              <w14:schemeClr w14:val="tx1"/>
            </w14:solidFill>
          </w14:textFill>
        </w:rPr>
        <w:t>1.</w:t>
      </w:r>
      <w:r>
        <w:rPr>
          <w:rFonts w:hint="eastAsia" w:ascii="仿宋" w:hAnsi="仿宋" w:eastAsia="仿宋" w:cs="仿宋"/>
          <w:color w:val="000000" w:themeColor="text1"/>
          <w:sz w:val="32"/>
          <w:szCs w:val="32"/>
          <w:highlight w:val="none"/>
          <w:lang w:eastAsia="zh-CN"/>
          <w14:textFill>
            <w14:solidFill>
              <w14:schemeClr w14:val="tx1"/>
            </w14:solidFill>
          </w14:textFill>
        </w:rPr>
        <w:t>集团</w:t>
      </w:r>
      <w:r>
        <w:rPr>
          <w:rFonts w:hint="eastAsia" w:ascii="仿宋" w:hAnsi="仿宋" w:eastAsia="仿宋" w:cs="仿宋"/>
          <w:color w:val="000000" w:themeColor="text1"/>
          <w:sz w:val="32"/>
          <w:szCs w:val="32"/>
          <w:highlight w:val="none"/>
          <w:lang w:val="en-US" w:eastAsia="zh-CN"/>
          <w14:textFill>
            <w14:solidFill>
              <w14:schemeClr w14:val="tx1"/>
            </w14:solidFill>
          </w14:textFill>
        </w:rPr>
        <w:t>公司</w:t>
      </w:r>
      <w:r>
        <w:rPr>
          <w:rFonts w:hint="eastAsia" w:ascii="仿宋" w:hAnsi="仿宋" w:eastAsia="仿宋" w:cs="仿宋"/>
          <w:color w:val="000000" w:themeColor="text1"/>
          <w:sz w:val="32"/>
          <w:szCs w:val="32"/>
          <w:highlight w:val="none"/>
          <w14:textFill>
            <w14:solidFill>
              <w14:schemeClr w14:val="tx1"/>
            </w14:solidFill>
          </w14:textFill>
        </w:rPr>
        <w:t>章程制订和重要修订；</w:t>
      </w:r>
    </w:p>
    <w:p w14:paraId="299B361C">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2</w:t>
      </w:r>
      <w:r>
        <w:rPr>
          <w:rFonts w:hint="eastAsia" w:ascii="仿宋" w:hAnsi="仿宋" w:eastAsia="仿宋" w:cs="仿宋"/>
          <w:color w:val="000000" w:themeColor="text1"/>
          <w:sz w:val="32"/>
          <w:szCs w:val="32"/>
          <w:highlight w:val="none"/>
          <w:lang w:val="en-US" w:eastAsia="zh-CN"/>
          <w14:textFill>
            <w14:solidFill>
              <w14:schemeClr w14:val="tx1"/>
            </w14:solidFill>
          </w14:textFill>
        </w:rPr>
        <w:t>2.集团</w:t>
      </w:r>
      <w:r>
        <w:rPr>
          <w:rFonts w:hint="eastAsia" w:ascii="仿宋" w:hAnsi="仿宋" w:eastAsia="仿宋" w:cs="仿宋"/>
          <w:color w:val="000000" w:themeColor="text1"/>
          <w:sz w:val="32"/>
          <w:szCs w:val="32"/>
          <w:highlight w:val="none"/>
          <w14:textFill>
            <w14:solidFill>
              <w14:schemeClr w14:val="tx1"/>
            </w14:solidFill>
          </w14:textFill>
        </w:rPr>
        <w:t>重大基本管理制度，包括“三重一大”决策、董事会及总经理办公会议事规则，投资担保、资产交易、绩效考核、人事、财务管理、授权管理以及责任追究等重大管理制度的制订和重大修订；</w:t>
      </w:r>
    </w:p>
    <w:p w14:paraId="22DF544F">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2</w:t>
      </w:r>
      <w:r>
        <w:rPr>
          <w:rFonts w:hint="eastAsia" w:ascii="仿宋" w:hAnsi="仿宋" w:eastAsia="仿宋" w:cs="仿宋"/>
          <w:color w:val="000000" w:themeColor="text1"/>
          <w:sz w:val="32"/>
          <w:szCs w:val="32"/>
          <w:highlight w:val="none"/>
          <w:lang w:val="en-US" w:eastAsia="zh-CN"/>
          <w14:textFill>
            <w14:solidFill>
              <w14:schemeClr w14:val="tx1"/>
            </w14:solidFill>
          </w14:textFill>
        </w:rPr>
        <w:t>3.集团</w:t>
      </w:r>
      <w:r>
        <w:rPr>
          <w:rFonts w:hint="eastAsia" w:ascii="仿宋" w:hAnsi="仿宋" w:eastAsia="仿宋" w:cs="仿宋"/>
          <w:color w:val="000000" w:themeColor="text1"/>
          <w:sz w:val="32"/>
          <w:szCs w:val="32"/>
          <w:highlight w:val="none"/>
          <w14:textFill>
            <w14:solidFill>
              <w14:schemeClr w14:val="tx1"/>
            </w14:solidFill>
          </w14:textFill>
        </w:rPr>
        <w:t>内部机构改革方案，内部管理机构设立和调整，董事会专门委员会的组成和调整，内部定岗、定编、定员、定责</w:t>
      </w:r>
      <w:r>
        <w:rPr>
          <w:rFonts w:hint="eastAsia" w:ascii="仿宋" w:hAnsi="仿宋" w:eastAsia="仿宋" w:cs="仿宋"/>
          <w:color w:val="000000" w:themeColor="text1"/>
          <w:sz w:val="32"/>
          <w:szCs w:val="32"/>
          <w:highlight w:val="none"/>
          <w:lang w:eastAsia="zh-CN"/>
          <w14:textFill>
            <w14:solidFill>
              <w14:schemeClr w14:val="tx1"/>
            </w14:solidFill>
          </w14:textFill>
        </w:rPr>
        <w:t>，</w:t>
      </w:r>
      <w:r>
        <w:rPr>
          <w:rFonts w:hint="eastAsia" w:ascii="仿宋" w:hAnsi="仿宋" w:eastAsia="仿宋" w:cs="仿宋"/>
          <w:color w:val="000000" w:themeColor="text1"/>
          <w:sz w:val="32"/>
          <w:szCs w:val="32"/>
          <w:highlight w:val="none"/>
          <w:lang w:val="en-US" w:eastAsia="zh-CN"/>
          <w14:textFill>
            <w14:solidFill>
              <w14:schemeClr w14:val="tx1"/>
            </w14:solidFill>
          </w14:textFill>
        </w:rPr>
        <w:t>集团年度招聘计划和方案</w:t>
      </w:r>
      <w:r>
        <w:rPr>
          <w:rFonts w:hint="eastAsia" w:ascii="仿宋" w:hAnsi="仿宋" w:eastAsia="仿宋" w:cs="仿宋"/>
          <w:color w:val="000000" w:themeColor="text1"/>
          <w:sz w:val="32"/>
          <w:szCs w:val="32"/>
          <w:highlight w:val="none"/>
          <w14:textFill>
            <w14:solidFill>
              <w14:schemeClr w14:val="tx1"/>
            </w14:solidFill>
          </w14:textFill>
        </w:rPr>
        <w:t>；</w:t>
      </w:r>
    </w:p>
    <w:p w14:paraId="6F5728C2">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仿宋" w:hAnsi="仿宋" w:eastAsia="仿宋" w:cs="仿宋"/>
          <w:color w:val="000000" w:themeColor="text1"/>
          <w:sz w:val="32"/>
          <w:szCs w:val="32"/>
          <w:highlight w:val="none"/>
          <w:lang w:eastAsia="zh-CN"/>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2</w:t>
      </w:r>
      <w:r>
        <w:rPr>
          <w:rFonts w:hint="eastAsia" w:ascii="仿宋" w:hAnsi="仿宋" w:eastAsia="仿宋" w:cs="仿宋"/>
          <w:color w:val="000000" w:themeColor="text1"/>
          <w:sz w:val="32"/>
          <w:szCs w:val="32"/>
          <w:highlight w:val="none"/>
          <w:lang w:val="en-US" w:eastAsia="zh-CN"/>
          <w14:textFill>
            <w14:solidFill>
              <w14:schemeClr w14:val="tx1"/>
            </w14:solidFill>
          </w14:textFill>
        </w:rPr>
        <w:t>4.集团</w:t>
      </w:r>
      <w:r>
        <w:rPr>
          <w:rFonts w:hint="eastAsia" w:ascii="仿宋" w:hAnsi="仿宋" w:eastAsia="仿宋" w:cs="仿宋"/>
          <w:color w:val="000000" w:themeColor="text1"/>
          <w:sz w:val="32"/>
          <w:szCs w:val="32"/>
          <w:highlight w:val="none"/>
          <w14:textFill>
            <w14:solidFill>
              <w14:schemeClr w14:val="tx1"/>
            </w14:solidFill>
          </w14:textFill>
        </w:rPr>
        <w:t>向履行出资人职责机构申请授权放权事项，董事会对公司总经理</w:t>
      </w:r>
      <w:r>
        <w:rPr>
          <w:rFonts w:hint="eastAsia" w:ascii="仿宋" w:hAnsi="仿宋" w:eastAsia="仿宋" w:cs="仿宋"/>
          <w:color w:val="000000" w:themeColor="text1"/>
          <w:sz w:val="32"/>
          <w:szCs w:val="32"/>
          <w:highlight w:val="none"/>
          <w:lang w:val="en-US" w:eastAsia="zh-CN"/>
          <w14:textFill>
            <w14:solidFill>
              <w14:schemeClr w14:val="tx1"/>
            </w14:solidFill>
          </w14:textFill>
        </w:rPr>
        <w:t>授</w:t>
      </w:r>
      <w:r>
        <w:rPr>
          <w:rFonts w:hint="eastAsia" w:ascii="仿宋" w:hAnsi="仿宋" w:eastAsia="仿宋" w:cs="仿宋"/>
          <w:color w:val="000000" w:themeColor="text1"/>
          <w:sz w:val="32"/>
          <w:szCs w:val="32"/>
          <w:highlight w:val="none"/>
          <w14:textFill>
            <w14:solidFill>
              <w14:schemeClr w14:val="tx1"/>
            </w14:solidFill>
          </w14:textFill>
        </w:rPr>
        <w:t>权事项，</w:t>
      </w:r>
      <w:r>
        <w:rPr>
          <w:rFonts w:hint="eastAsia" w:ascii="仿宋" w:hAnsi="仿宋" w:eastAsia="仿宋" w:cs="仿宋"/>
          <w:color w:val="000000" w:themeColor="text1"/>
          <w:sz w:val="32"/>
          <w:szCs w:val="32"/>
          <w:highlight w:val="none"/>
          <w:lang w:val="en-US" w:eastAsia="zh-CN"/>
          <w14:textFill>
            <w14:solidFill>
              <w14:schemeClr w14:val="tx1"/>
            </w14:solidFill>
          </w14:textFill>
        </w:rPr>
        <w:t>集团</w:t>
      </w:r>
      <w:r>
        <w:rPr>
          <w:rFonts w:hint="eastAsia" w:ascii="仿宋" w:hAnsi="仿宋" w:eastAsia="仿宋" w:cs="仿宋"/>
          <w:color w:val="000000" w:themeColor="text1"/>
          <w:sz w:val="32"/>
          <w:szCs w:val="32"/>
          <w:highlight w:val="none"/>
          <w14:textFill>
            <w14:solidFill>
              <w14:schemeClr w14:val="tx1"/>
            </w14:solidFill>
          </w14:textFill>
        </w:rPr>
        <w:t>对所属全资、控股企业董事会</w:t>
      </w:r>
      <w:r>
        <w:rPr>
          <w:rFonts w:hint="eastAsia" w:ascii="仿宋" w:hAnsi="仿宋" w:eastAsia="仿宋" w:cs="仿宋"/>
          <w:color w:val="000000" w:themeColor="text1"/>
          <w:sz w:val="32"/>
          <w:szCs w:val="32"/>
          <w:highlight w:val="none"/>
          <w:lang w:val="en-US" w:eastAsia="zh-CN"/>
          <w14:textFill>
            <w14:solidFill>
              <w14:schemeClr w14:val="tx1"/>
            </w14:solidFill>
          </w14:textFill>
        </w:rPr>
        <w:t>授</w:t>
      </w:r>
      <w:r>
        <w:rPr>
          <w:rFonts w:hint="eastAsia" w:ascii="仿宋" w:hAnsi="仿宋" w:eastAsia="仿宋" w:cs="仿宋"/>
          <w:color w:val="000000" w:themeColor="text1"/>
          <w:sz w:val="32"/>
          <w:szCs w:val="32"/>
          <w:highlight w:val="none"/>
          <w14:textFill>
            <w14:solidFill>
              <w14:schemeClr w14:val="tx1"/>
            </w14:solidFill>
          </w14:textFill>
        </w:rPr>
        <w:t>权事项</w:t>
      </w:r>
      <w:r>
        <w:rPr>
          <w:rFonts w:hint="eastAsia" w:ascii="仿宋" w:hAnsi="仿宋" w:eastAsia="仿宋" w:cs="仿宋"/>
          <w:color w:val="000000" w:themeColor="text1"/>
          <w:sz w:val="32"/>
          <w:szCs w:val="32"/>
          <w:highlight w:val="none"/>
          <w:lang w:eastAsia="zh-CN"/>
          <w14:textFill>
            <w14:solidFill>
              <w14:schemeClr w14:val="tx1"/>
            </w14:solidFill>
          </w14:textFill>
        </w:rPr>
        <w:t>。</w:t>
      </w:r>
    </w:p>
    <w:p w14:paraId="0CE64B2A">
      <w:pPr>
        <w:keepNext w:val="0"/>
        <w:keepLines w:val="0"/>
        <w:pageBreakBefore w:val="0"/>
        <w:widowControl w:val="0"/>
        <w:numPr>
          <w:ilvl w:val="0"/>
          <w:numId w:val="0"/>
        </w:numPr>
        <w:kinsoku/>
        <w:wordWrap/>
        <w:overflowPunct/>
        <w:topLinePunct w:val="0"/>
        <w:autoSpaceDE/>
        <w:autoSpaceDN/>
        <w:bidi w:val="0"/>
        <w:adjustRightInd/>
        <w:snapToGrid/>
        <w:spacing w:line="579" w:lineRule="exact"/>
        <w:ind w:firstLine="640" w:firstLineChars="200"/>
        <w:textAlignment w:val="auto"/>
        <w:rPr>
          <w:rFonts w:hint="eastAsia"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（五）涉及安全生产、维护稳定、职工权益、社会</w:t>
      </w:r>
      <w:r>
        <w:rPr>
          <w:rFonts w:hint="eastAsia" w:ascii="仿宋" w:hAnsi="仿宋" w:eastAsia="仿宋" w:cs="仿宋"/>
          <w:color w:val="000000" w:themeColor="text1"/>
          <w:sz w:val="32"/>
          <w:szCs w:val="32"/>
          <w:highlight w:val="none"/>
          <w:lang w:val="en-US" w:eastAsia="zh-CN"/>
          <w14:textFill>
            <w14:solidFill>
              <w14:schemeClr w14:val="tx1"/>
            </w14:solidFill>
          </w14:textFill>
        </w:rPr>
        <w:t>责</w:t>
      </w:r>
      <w:r>
        <w:rPr>
          <w:rFonts w:hint="eastAsia" w:ascii="仿宋" w:hAnsi="仿宋" w:eastAsia="仿宋" w:cs="仿宋"/>
          <w:color w:val="000000" w:themeColor="text1"/>
          <w:sz w:val="32"/>
          <w:szCs w:val="32"/>
          <w:highlight w:val="none"/>
          <w14:textFill>
            <w14:solidFill>
              <w14:schemeClr w14:val="tx1"/>
            </w14:solidFill>
          </w14:textFill>
        </w:rPr>
        <w:t>任等方面的重大事项方面</w:t>
      </w:r>
    </w:p>
    <w:p w14:paraId="14F798E8">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2</w:t>
      </w:r>
      <w:r>
        <w:rPr>
          <w:rFonts w:hint="eastAsia" w:ascii="仿宋" w:hAnsi="仿宋" w:eastAsia="仿宋" w:cs="仿宋"/>
          <w:color w:val="000000" w:themeColor="text1"/>
          <w:sz w:val="32"/>
          <w:szCs w:val="32"/>
          <w:highlight w:val="none"/>
          <w:lang w:val="en-US" w:eastAsia="zh-CN"/>
          <w14:textFill>
            <w14:solidFill>
              <w14:schemeClr w14:val="tx1"/>
            </w14:solidFill>
          </w14:textFill>
        </w:rPr>
        <w:t>5.集团</w:t>
      </w:r>
      <w:r>
        <w:rPr>
          <w:rFonts w:hint="eastAsia" w:ascii="仿宋" w:hAnsi="仿宋" w:eastAsia="仿宋" w:cs="仿宋"/>
          <w:color w:val="000000" w:themeColor="text1"/>
          <w:sz w:val="32"/>
          <w:szCs w:val="32"/>
          <w:highlight w:val="none"/>
          <w14:textFill>
            <w14:solidFill>
              <w14:schemeClr w14:val="tx1"/>
            </w14:solidFill>
          </w14:textFill>
        </w:rPr>
        <w:t>及所属全资、控股企业年度经菅业绩考核结果、生</w:t>
      </w:r>
      <w:r>
        <w:rPr>
          <w:rFonts w:hint="eastAsia" w:ascii="仿宋" w:hAnsi="仿宋" w:eastAsia="仿宋" w:cs="仿宋"/>
          <w:color w:val="000000" w:themeColor="text1"/>
          <w:sz w:val="32"/>
          <w:szCs w:val="32"/>
          <w:highlight w:val="none"/>
          <w:lang w:val="en-US" w:eastAsia="zh-CN"/>
          <w14:textFill>
            <w14:solidFill>
              <w14:schemeClr w14:val="tx1"/>
            </w14:solidFill>
          </w14:textFill>
        </w:rPr>
        <w:t>产经营激励方案，所属全资、控股企业负责人年度薪酬兑现方案；</w:t>
      </w:r>
    </w:p>
    <w:p w14:paraId="61D88F38">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26.集团经理层成员的推荐、提名、选聘、解聘、考核、薪酬方案；</w:t>
      </w:r>
    </w:p>
    <w:p w14:paraId="28F5CEFA">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27.集团及所属全资、控股企业中层管理人员的动议、考核、薪酬方案，年度经营业绩考核结果；</w:t>
      </w:r>
    </w:p>
    <w:p w14:paraId="5B31D5AD">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28.集团重大、特别重大安全生产事故的应急方案、调查结果、责任追究；</w:t>
      </w:r>
    </w:p>
    <w:p w14:paraId="34FD1CED">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29.集团</w:t>
      </w:r>
      <w:r>
        <w:rPr>
          <w:rFonts w:hint="eastAsia" w:ascii="仿宋" w:hAnsi="仿宋" w:eastAsia="仿宋" w:cs="仿宋"/>
          <w:color w:val="000000" w:themeColor="text1"/>
          <w:sz w:val="32"/>
          <w:szCs w:val="32"/>
          <w:highlight w:val="none"/>
          <w14:textFill>
            <w14:solidFill>
              <w14:schemeClr w14:val="tx1"/>
            </w14:solidFill>
          </w14:textFill>
        </w:rPr>
        <w:t>群体性、社会影响较大或中央、自治区关注的舆情危机、信访维稳</w:t>
      </w:r>
      <w:r>
        <w:rPr>
          <w:rFonts w:hint="eastAsia" w:ascii="仿宋" w:hAnsi="仿宋" w:eastAsia="仿宋" w:cs="仿宋"/>
          <w:color w:val="000000" w:themeColor="text1"/>
          <w:sz w:val="32"/>
          <w:szCs w:val="32"/>
          <w:highlight w:val="none"/>
          <w:lang w:val="en-US" w:eastAsia="zh-CN"/>
          <w14:textFill>
            <w14:solidFill>
              <w14:schemeClr w14:val="tx1"/>
            </w14:solidFill>
          </w14:textFill>
        </w:rPr>
        <w:t>等事件的</w:t>
      </w:r>
      <w:r>
        <w:rPr>
          <w:rFonts w:hint="eastAsia" w:ascii="仿宋" w:hAnsi="仿宋" w:eastAsia="仿宋" w:cs="仿宋"/>
          <w:color w:val="000000" w:themeColor="text1"/>
          <w:sz w:val="32"/>
          <w:szCs w:val="32"/>
          <w:highlight w:val="none"/>
          <w14:textFill>
            <w14:solidFill>
              <w14:schemeClr w14:val="tx1"/>
            </w14:solidFill>
          </w14:textFill>
        </w:rPr>
        <w:t>处理</w:t>
      </w:r>
      <w:r>
        <w:rPr>
          <w:rFonts w:hint="eastAsia" w:ascii="仿宋" w:hAnsi="仿宋" w:eastAsia="仿宋" w:cs="仿宋"/>
          <w:b w:val="0"/>
          <w:bCs/>
          <w:color w:val="000000" w:themeColor="text1"/>
          <w:kern w:val="2"/>
          <w:sz w:val="32"/>
          <w:szCs w:val="32"/>
          <w:u w:val="none"/>
          <w:shd w:val="clear"/>
          <w:lang w:val="en-US" w:eastAsia="zh-CN" w:bidi="ar-SA"/>
          <w14:textFill>
            <w14:solidFill>
              <w14:schemeClr w14:val="tx1"/>
            </w14:solidFill>
          </w14:textFill>
        </w:rPr>
        <w:t>方案、调查结果、责任追究</w:t>
      </w:r>
      <w:r>
        <w:rPr>
          <w:rFonts w:hint="eastAsia" w:ascii="仿宋" w:hAnsi="仿宋" w:eastAsia="仿宋" w:cs="仿宋"/>
          <w:color w:val="000000" w:themeColor="text1"/>
          <w:sz w:val="32"/>
          <w:szCs w:val="32"/>
          <w:highlight w:val="none"/>
          <w14:textFill>
            <w14:solidFill>
              <w14:schemeClr w14:val="tx1"/>
            </w14:solidFill>
          </w14:textFill>
        </w:rPr>
        <w:t>；</w:t>
      </w:r>
    </w:p>
    <w:p w14:paraId="0DC05029">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30.</w:t>
      </w:r>
      <w:r>
        <w:rPr>
          <w:rFonts w:hint="eastAsia" w:ascii="仿宋" w:hAnsi="仿宋" w:eastAsia="仿宋" w:cs="仿宋"/>
          <w:color w:val="000000" w:themeColor="text1"/>
          <w:sz w:val="32"/>
          <w:szCs w:val="32"/>
          <w:highlight w:val="none"/>
          <w14:textFill>
            <w14:solidFill>
              <w14:schemeClr w14:val="tx1"/>
            </w14:solidFill>
          </w14:textFill>
        </w:rPr>
        <w:t>涉及</w:t>
      </w:r>
      <w:r>
        <w:rPr>
          <w:rFonts w:hint="eastAsia" w:ascii="仿宋" w:hAnsi="仿宋" w:eastAsia="仿宋" w:cs="仿宋"/>
          <w:color w:val="000000" w:themeColor="text1"/>
          <w:sz w:val="32"/>
          <w:szCs w:val="32"/>
          <w:highlight w:val="none"/>
          <w:lang w:val="en-US" w:eastAsia="zh-CN"/>
          <w14:textFill>
            <w14:solidFill>
              <w14:schemeClr w14:val="tx1"/>
            </w14:solidFill>
          </w14:textFill>
        </w:rPr>
        <w:t>集团</w:t>
      </w:r>
      <w:r>
        <w:rPr>
          <w:rFonts w:hint="eastAsia" w:ascii="仿宋" w:hAnsi="仿宋" w:eastAsia="仿宋" w:cs="仿宋"/>
          <w:color w:val="000000" w:themeColor="text1"/>
          <w:sz w:val="32"/>
          <w:szCs w:val="32"/>
          <w:highlight w:val="none"/>
          <w14:textFill>
            <w14:solidFill>
              <w14:schemeClr w14:val="tx1"/>
            </w14:solidFill>
          </w14:textFill>
        </w:rPr>
        <w:t>资产安全和企业稳定的重大风险处理方案，以及国有资产损失责任追究方案；</w:t>
      </w:r>
    </w:p>
    <w:p w14:paraId="4955BA4F">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3</w:t>
      </w:r>
      <w:r>
        <w:rPr>
          <w:rFonts w:hint="eastAsia" w:ascii="仿宋" w:hAnsi="仿宋" w:eastAsia="仿宋" w:cs="仿宋"/>
          <w:color w:val="000000" w:themeColor="text1"/>
          <w:sz w:val="32"/>
          <w:szCs w:val="32"/>
          <w:highlight w:val="none"/>
          <w:lang w:val="en-US" w:eastAsia="zh-CN"/>
          <w14:textFill>
            <w14:solidFill>
              <w14:schemeClr w14:val="tx1"/>
            </w14:solidFill>
          </w14:textFill>
        </w:rPr>
        <w:t>1.</w:t>
      </w:r>
      <w:r>
        <w:rPr>
          <w:rFonts w:hint="eastAsia" w:ascii="仿宋" w:hAnsi="仿宋" w:eastAsia="仿宋" w:cs="仿宋"/>
          <w:color w:val="000000" w:themeColor="text1"/>
          <w:sz w:val="32"/>
          <w:szCs w:val="32"/>
          <w:highlight w:val="none"/>
          <w14:textFill>
            <w14:solidFill>
              <w14:schemeClr w14:val="tx1"/>
            </w14:solidFill>
          </w14:textFill>
        </w:rPr>
        <w:t>涉及</w:t>
      </w:r>
      <w:r>
        <w:rPr>
          <w:rFonts w:hint="eastAsia" w:ascii="仿宋" w:hAnsi="仿宋" w:eastAsia="仿宋" w:cs="仿宋"/>
          <w:color w:val="000000" w:themeColor="text1"/>
          <w:sz w:val="32"/>
          <w:szCs w:val="32"/>
          <w:highlight w:val="none"/>
          <w:lang w:val="en-US" w:eastAsia="zh-CN"/>
          <w14:textFill>
            <w14:solidFill>
              <w14:schemeClr w14:val="tx1"/>
            </w14:solidFill>
          </w14:textFill>
        </w:rPr>
        <w:t>集团</w:t>
      </w:r>
      <w:r>
        <w:rPr>
          <w:rFonts w:hint="eastAsia" w:ascii="仿宋" w:hAnsi="仿宋" w:eastAsia="仿宋" w:cs="仿宋"/>
          <w:color w:val="000000" w:themeColor="text1"/>
          <w:sz w:val="32"/>
          <w:szCs w:val="32"/>
          <w:highlight w:val="none"/>
          <w14:textFill>
            <w14:solidFill>
              <w14:schemeClr w14:val="tx1"/>
            </w14:solidFill>
          </w14:textFill>
        </w:rPr>
        <w:t>稳定的劳动用工制度改革方案和职工薪酬改革方案</w:t>
      </w:r>
      <w:r>
        <w:rPr>
          <w:rFonts w:hint="eastAsia" w:ascii="仿宋" w:hAnsi="仿宋" w:eastAsia="仿宋" w:cs="仿宋"/>
          <w:color w:val="000000" w:themeColor="text1"/>
          <w:sz w:val="32"/>
          <w:szCs w:val="32"/>
          <w:highlight w:val="none"/>
          <w:lang w:eastAsia="zh-CN"/>
          <w14:textFill>
            <w14:solidFill>
              <w14:schemeClr w14:val="tx1"/>
            </w14:solidFill>
          </w14:textFill>
        </w:rPr>
        <w:t>，</w:t>
      </w:r>
      <w:r>
        <w:rPr>
          <w:rFonts w:hint="eastAsia" w:ascii="仿宋" w:hAnsi="仿宋" w:eastAsia="仿宋" w:cs="仿宋"/>
          <w:color w:val="000000" w:themeColor="text1"/>
          <w:sz w:val="32"/>
          <w:szCs w:val="32"/>
          <w:highlight w:val="none"/>
          <w:lang w:val="en-US" w:eastAsia="zh-CN"/>
          <w14:textFill>
            <w14:solidFill>
              <w14:schemeClr w14:val="tx1"/>
            </w14:solidFill>
          </w14:textFill>
        </w:rPr>
        <w:t>集团公司年度工资总额预算方案；</w:t>
      </w:r>
    </w:p>
    <w:p w14:paraId="1D81FFEA">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3</w:t>
      </w:r>
      <w:r>
        <w:rPr>
          <w:rFonts w:hint="eastAsia" w:ascii="仿宋" w:hAnsi="仿宋" w:eastAsia="仿宋" w:cs="仿宋"/>
          <w:color w:val="000000" w:themeColor="text1"/>
          <w:sz w:val="32"/>
          <w:szCs w:val="32"/>
          <w:highlight w:val="none"/>
          <w:lang w:val="en-US" w:eastAsia="zh-CN"/>
          <w14:textFill>
            <w14:solidFill>
              <w14:schemeClr w14:val="tx1"/>
            </w14:solidFill>
          </w14:textFill>
        </w:rPr>
        <w:t>2.集团</w:t>
      </w:r>
      <w:r>
        <w:rPr>
          <w:rFonts w:hint="eastAsia" w:ascii="仿宋" w:hAnsi="仿宋" w:eastAsia="仿宋" w:cs="仿宋"/>
          <w:color w:val="000000" w:themeColor="text1"/>
          <w:sz w:val="32"/>
          <w:szCs w:val="32"/>
          <w:highlight w:val="none"/>
          <w14:textFill>
            <w14:solidFill>
              <w14:schemeClr w14:val="tx1"/>
            </w14:solidFill>
          </w14:textFill>
        </w:rPr>
        <w:t>及所属全资、控股企业重大资产损失、大额不良资产核销事项;</w:t>
      </w:r>
    </w:p>
    <w:p w14:paraId="7F05DE29">
      <w:pPr>
        <w:keepNext w:val="0"/>
        <w:keepLines w:val="0"/>
        <w:pageBreakBefore w:val="0"/>
        <w:widowControl w:val="0"/>
        <w:kinsoku/>
        <w:wordWrap/>
        <w:overflowPunct/>
        <w:topLinePunct w:val="0"/>
        <w:autoSpaceDE/>
        <w:autoSpaceDN/>
        <w:bidi w:val="0"/>
        <w:adjustRightInd/>
        <w:snapToGrid/>
        <w:spacing w:line="579" w:lineRule="exact"/>
        <w:ind w:left="973" w:leftChars="304" w:firstLine="0" w:firstLineChars="0"/>
        <w:textAlignment w:val="auto"/>
        <w:rPr>
          <w:rFonts w:hint="eastAsia"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3</w:t>
      </w:r>
      <w:r>
        <w:rPr>
          <w:rFonts w:hint="eastAsia" w:ascii="仿宋" w:hAnsi="仿宋" w:eastAsia="仿宋" w:cs="仿宋"/>
          <w:color w:val="000000" w:themeColor="text1"/>
          <w:sz w:val="32"/>
          <w:szCs w:val="32"/>
          <w:highlight w:val="none"/>
          <w:lang w:val="en-US" w:eastAsia="zh-CN"/>
          <w14:textFill>
            <w14:solidFill>
              <w14:schemeClr w14:val="tx1"/>
            </w14:solidFill>
          </w14:textFill>
        </w:rPr>
        <w:t>3.集团</w:t>
      </w:r>
      <w:r>
        <w:rPr>
          <w:rFonts w:hint="eastAsia" w:ascii="仿宋" w:hAnsi="仿宋" w:eastAsia="仿宋" w:cs="仿宋"/>
          <w:color w:val="000000" w:themeColor="text1"/>
          <w:sz w:val="32"/>
          <w:szCs w:val="32"/>
          <w:highlight w:val="none"/>
          <w14:textFill>
            <w14:solidFill>
              <w14:schemeClr w14:val="tx1"/>
            </w14:solidFill>
          </w14:textFill>
        </w:rPr>
        <w:t>年度财务审计等外部审计机构的聘用、解聘</w:t>
      </w:r>
    </w:p>
    <w:p w14:paraId="4D6BF656">
      <w:pPr>
        <w:keepNext w:val="0"/>
        <w:keepLines w:val="0"/>
        <w:pageBreakBefore w:val="0"/>
        <w:widowControl w:val="0"/>
        <w:kinsoku/>
        <w:wordWrap/>
        <w:overflowPunct/>
        <w:topLinePunct w:val="0"/>
        <w:autoSpaceDE/>
        <w:autoSpaceDN/>
        <w:bidi w:val="0"/>
        <w:adjustRightInd/>
        <w:snapToGrid/>
        <w:spacing w:line="579" w:lineRule="exact"/>
        <w:textAlignment w:val="auto"/>
        <w:rPr>
          <w:rFonts w:hint="eastAsia" w:ascii="仿宋" w:hAnsi="仿宋" w:eastAsia="仿宋" w:cs="仿宋"/>
          <w:color w:val="000000" w:themeColor="text1"/>
          <w:sz w:val="32"/>
          <w:szCs w:val="32"/>
          <w:highlight w:val="none"/>
          <w:lang w:eastAsia="zh-CN"/>
          <w14:textFill>
            <w14:solidFill>
              <w14:schemeClr w14:val="tx1"/>
            </w14:solidFill>
          </w14:textFill>
        </w:rPr>
      </w:pPr>
      <w:bookmarkStart w:id="0" w:name="_GoBack"/>
      <w:bookmarkEnd w:id="0"/>
      <w:r>
        <w:rPr>
          <w:rFonts w:hint="eastAsia" w:ascii="仿宋" w:hAnsi="仿宋" w:eastAsia="仿宋" w:cs="仿宋"/>
          <w:color w:val="000000" w:themeColor="text1"/>
          <w:sz w:val="32"/>
          <w:szCs w:val="32"/>
          <w:highlight w:val="none"/>
          <w14:textFill>
            <w14:solidFill>
              <w14:schemeClr w14:val="tx1"/>
            </w14:solidFill>
          </w14:textFill>
        </w:rPr>
        <w:t>和续聘</w:t>
      </w:r>
      <w:r>
        <w:rPr>
          <w:rFonts w:hint="eastAsia" w:ascii="仿宋" w:hAnsi="仿宋" w:eastAsia="仿宋" w:cs="仿宋"/>
          <w:color w:val="000000" w:themeColor="text1"/>
          <w:sz w:val="32"/>
          <w:szCs w:val="32"/>
          <w:highlight w:val="none"/>
          <w:lang w:eastAsia="zh-CN"/>
          <w14:textFill>
            <w14:solidFill>
              <w14:schemeClr w14:val="tx1"/>
            </w14:solidFill>
          </w14:textFill>
        </w:rPr>
        <w:t>；</w:t>
      </w:r>
    </w:p>
    <w:p w14:paraId="4571782F">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仿宋" w:hAnsi="仿宋" w:eastAsia="仿宋" w:cs="仿宋"/>
          <w:b w:val="0"/>
          <w:bCs w:val="0"/>
          <w:color w:val="000000" w:themeColor="text1"/>
          <w:sz w:val="32"/>
          <w:szCs w:val="32"/>
          <w:highlight w:val="none"/>
          <w:lang w:eastAsia="zh-CN"/>
          <w14:textFill>
            <w14:solidFill>
              <w14:schemeClr w14:val="tx1"/>
            </w14:solidFill>
          </w14:textFill>
        </w:rPr>
      </w:pPr>
      <w:r>
        <w:rPr>
          <w:rFonts w:hint="eastAsia" w:ascii="仿宋" w:hAnsi="仿宋" w:eastAsia="仿宋" w:cs="仿宋"/>
          <w:b w:val="0"/>
          <w:bCs w:val="0"/>
          <w:color w:val="000000" w:themeColor="text1"/>
          <w:sz w:val="32"/>
          <w:szCs w:val="32"/>
          <w:highlight w:val="none"/>
          <w:lang w:val="en-US" w:eastAsia="zh-CN"/>
          <w14:textFill>
            <w14:solidFill>
              <w14:schemeClr w14:val="tx1"/>
            </w14:solidFill>
          </w14:textFill>
        </w:rPr>
        <w:t>34.</w:t>
      </w:r>
      <w:r>
        <w:rPr>
          <w:rFonts w:hint="eastAsia" w:ascii="仿宋" w:hAnsi="仿宋" w:eastAsia="仿宋" w:cs="仿宋"/>
          <w:b w:val="0"/>
          <w:bCs w:val="0"/>
          <w:color w:val="000000" w:themeColor="text1"/>
          <w:kern w:val="2"/>
          <w:sz w:val="32"/>
          <w:szCs w:val="32"/>
          <w:highlight w:val="none"/>
          <w:lang w:val="en-US" w:eastAsia="zh-CN" w:bidi="ar-SA"/>
          <w14:textFill>
            <w14:solidFill>
              <w14:schemeClr w14:val="tx1"/>
            </w14:solidFill>
          </w14:textFill>
        </w:rPr>
        <w:t>集团及所属分子公司年度审计计划、年度审计报告、任期经济责任审计报告、离任审计报告及其他重要专项审计报告；</w:t>
      </w:r>
    </w:p>
    <w:p w14:paraId="3F5A0C80">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3</w:t>
      </w:r>
      <w:r>
        <w:rPr>
          <w:rFonts w:hint="eastAsia" w:ascii="仿宋" w:hAnsi="仿宋" w:eastAsia="仿宋" w:cs="仿宋"/>
          <w:color w:val="000000" w:themeColor="text1"/>
          <w:sz w:val="32"/>
          <w:szCs w:val="32"/>
          <w:highlight w:val="none"/>
          <w:lang w:val="en-US" w:eastAsia="zh-CN"/>
          <w14:textFill>
            <w14:solidFill>
              <w14:schemeClr w14:val="tx1"/>
            </w14:solidFill>
          </w14:textFill>
        </w:rPr>
        <w:t>5.根据工作需要，</w:t>
      </w:r>
      <w:r>
        <w:rPr>
          <w:rFonts w:hint="eastAsia" w:ascii="仿宋" w:hAnsi="仿宋" w:eastAsia="仿宋" w:cs="仿宋"/>
          <w:color w:val="000000" w:themeColor="text1"/>
          <w:sz w:val="32"/>
          <w:szCs w:val="32"/>
          <w:highlight w:val="none"/>
          <w14:textFill>
            <w14:solidFill>
              <w14:schemeClr w14:val="tx1"/>
            </w14:solidFill>
          </w14:textFill>
        </w:rPr>
        <w:t>其</w:t>
      </w:r>
      <w:r>
        <w:rPr>
          <w:rFonts w:hint="eastAsia" w:ascii="仿宋" w:hAnsi="仿宋" w:eastAsia="仿宋" w:cs="仿宋"/>
          <w:color w:val="000000" w:themeColor="text1"/>
          <w:sz w:val="32"/>
          <w:szCs w:val="32"/>
          <w:highlight w:val="none"/>
          <w:lang w:val="en-US" w:eastAsia="zh-CN"/>
          <w14:textFill>
            <w14:solidFill>
              <w14:schemeClr w14:val="tx1"/>
            </w14:solidFill>
          </w14:textFill>
        </w:rPr>
        <w:t>它</w:t>
      </w:r>
      <w:r>
        <w:rPr>
          <w:rFonts w:hint="eastAsia" w:ascii="仿宋" w:hAnsi="仿宋" w:eastAsia="仿宋" w:cs="仿宋"/>
          <w:color w:val="000000" w:themeColor="text1"/>
          <w:sz w:val="32"/>
          <w:szCs w:val="32"/>
          <w:highlight w:val="none"/>
          <w14:textFill>
            <w14:solidFill>
              <w14:schemeClr w14:val="tx1"/>
            </w14:solidFill>
          </w14:textFill>
        </w:rPr>
        <w:t>应当由党</w:t>
      </w:r>
      <w:r>
        <w:rPr>
          <w:rFonts w:hint="eastAsia" w:ascii="仿宋" w:hAnsi="仿宋" w:eastAsia="仿宋" w:cs="仿宋"/>
          <w:color w:val="000000" w:themeColor="text1"/>
          <w:sz w:val="32"/>
          <w:szCs w:val="32"/>
          <w:highlight w:val="none"/>
          <w:lang w:val="en-US" w:eastAsia="zh-CN"/>
          <w14:textFill>
            <w14:solidFill>
              <w14:schemeClr w14:val="tx1"/>
            </w14:solidFill>
          </w14:textFill>
        </w:rPr>
        <w:t>委前置</w:t>
      </w:r>
      <w:r>
        <w:rPr>
          <w:rFonts w:hint="eastAsia" w:ascii="仿宋" w:hAnsi="仿宋" w:eastAsia="仿宋" w:cs="仿宋"/>
          <w:color w:val="000000" w:themeColor="text1"/>
          <w:sz w:val="32"/>
          <w:szCs w:val="32"/>
          <w:highlight w:val="none"/>
          <w14:textFill>
            <w14:solidFill>
              <w14:schemeClr w14:val="tx1"/>
            </w14:solidFill>
          </w14:textFill>
        </w:rPr>
        <w:t>研究讨论的重要事项。</w:t>
      </w:r>
    </w:p>
    <w:p w14:paraId="3568CC7B">
      <w:pPr>
        <w:pStyle w:val="5"/>
        <w:keepNext w:val="0"/>
        <w:keepLines w:val="0"/>
        <w:pageBreakBefore w:val="0"/>
        <w:widowControl w:val="0"/>
        <w:numPr>
          <w:ilvl w:val="0"/>
          <w:numId w:val="0"/>
        </w:numPr>
        <w:kinsoku/>
        <w:wordWrap/>
        <w:overflowPunct/>
        <w:topLinePunct w:val="0"/>
        <w:autoSpaceDE/>
        <w:autoSpaceDN/>
        <w:bidi w:val="0"/>
        <w:adjustRightInd/>
        <w:snapToGrid/>
        <w:spacing w:beforeLines="0" w:afterLines="0" w:line="579" w:lineRule="exact"/>
        <w:ind w:right="0" w:rightChars="0" w:firstLine="640" w:firstLineChars="200"/>
        <w:textAlignment w:val="auto"/>
        <w:rPr>
          <w:rFonts w:hint="eastAsia" w:ascii="仿宋" w:hAnsi="仿宋" w:eastAsia="仿宋" w:cs="仿宋"/>
          <w:b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b w:val="0"/>
          <w:color w:val="000000" w:themeColor="text1"/>
          <w:sz w:val="32"/>
          <w:szCs w:val="32"/>
          <w:highlight w:val="none"/>
          <w:lang w:val="en-US" w:eastAsia="zh-CN"/>
          <w14:textFill>
            <w14:solidFill>
              <w14:schemeClr w14:val="tx1"/>
            </w14:solidFill>
          </w14:textFill>
        </w:rPr>
        <w:t xml:space="preserve">第十八条 </w:t>
      </w:r>
      <w:r>
        <w:rPr>
          <w:rFonts w:hint="eastAsia" w:ascii="仿宋" w:hAnsi="仿宋" w:eastAsia="仿宋" w:cs="仿宋"/>
          <w:b w:val="0"/>
          <w:bCs/>
          <w:color w:val="000000" w:themeColor="text1"/>
          <w:sz w:val="32"/>
          <w:szCs w:val="32"/>
          <w:highlight w:val="none"/>
          <w:lang w:val="en-US" w:eastAsia="zh-CN"/>
          <w14:textFill>
            <w14:solidFill>
              <w14:schemeClr w14:val="tx1"/>
            </w14:solidFill>
          </w14:textFill>
        </w:rPr>
        <w:t>研究</w:t>
      </w:r>
      <w:r>
        <w:rPr>
          <w:rFonts w:hint="eastAsia" w:ascii="仿宋" w:hAnsi="仿宋" w:eastAsia="仿宋" w:cs="仿宋"/>
          <w:b w:val="0"/>
          <w:bCs/>
          <w:color w:val="000000" w:themeColor="text1"/>
          <w:sz w:val="32"/>
          <w:szCs w:val="32"/>
          <w:highlight w:val="none"/>
          <w:lang w:eastAsia="zh-CN"/>
          <w14:textFill>
            <w14:solidFill>
              <w14:schemeClr w14:val="tx1"/>
            </w14:solidFill>
          </w14:textFill>
        </w:rPr>
        <w:t>决定</w:t>
      </w:r>
      <w:r>
        <w:rPr>
          <w:rFonts w:hint="eastAsia" w:ascii="仿宋" w:hAnsi="仿宋" w:eastAsia="仿宋" w:cs="仿宋"/>
          <w:b w:val="0"/>
          <w:bCs/>
          <w:color w:val="000000" w:themeColor="text1"/>
          <w:sz w:val="32"/>
          <w:szCs w:val="32"/>
          <w:highlight w:val="none"/>
          <w:lang w:val="en-US" w:eastAsia="zh-CN"/>
          <w14:textFill>
            <w14:solidFill>
              <w14:schemeClr w14:val="tx1"/>
            </w14:solidFill>
          </w14:textFill>
        </w:rPr>
        <w:t>事项</w:t>
      </w:r>
    </w:p>
    <w:p w14:paraId="07BE7FC4">
      <w:pPr>
        <w:pStyle w:val="5"/>
        <w:keepNext w:val="0"/>
        <w:keepLines w:val="0"/>
        <w:pageBreakBefore w:val="0"/>
        <w:widowControl w:val="0"/>
        <w:numPr>
          <w:ilvl w:val="0"/>
          <w:numId w:val="0"/>
        </w:numPr>
        <w:kinsoku/>
        <w:wordWrap/>
        <w:overflowPunct/>
        <w:topLinePunct w:val="0"/>
        <w:autoSpaceDE/>
        <w:autoSpaceDN/>
        <w:bidi w:val="0"/>
        <w:adjustRightInd/>
        <w:snapToGrid/>
        <w:spacing w:beforeLines="0" w:afterLines="0" w:line="579" w:lineRule="exact"/>
        <w:ind w:right="74" w:rightChars="0" w:firstLine="640" w:firstLineChars="200"/>
        <w:textAlignment w:val="auto"/>
        <w:rPr>
          <w:rFonts w:hint="eastAsia" w:ascii="仿宋" w:hAnsi="仿宋" w:eastAsia="仿宋" w:cs="仿宋"/>
          <w:b w:val="0"/>
          <w:color w:val="000000" w:themeColor="text1"/>
          <w:sz w:val="32"/>
          <w:szCs w:val="32"/>
          <w:highlight w:val="none"/>
          <w14:textFill>
            <w14:solidFill>
              <w14:schemeClr w14:val="tx1"/>
            </w14:solidFill>
          </w14:textFill>
        </w:rPr>
      </w:pPr>
      <w:r>
        <w:rPr>
          <w:rFonts w:hint="eastAsia" w:ascii="仿宋" w:hAnsi="仿宋" w:eastAsia="仿宋" w:cs="仿宋"/>
          <w:b w:val="0"/>
          <w:color w:val="000000" w:themeColor="text1"/>
          <w:sz w:val="32"/>
          <w:szCs w:val="32"/>
          <w:highlight w:val="none"/>
          <w:lang w:val="en-US" w:eastAsia="zh-CN"/>
          <w14:textFill>
            <w14:solidFill>
              <w14:schemeClr w14:val="tx1"/>
            </w14:solidFill>
          </w14:textFill>
        </w:rPr>
        <w:t>1.决定</w:t>
      </w:r>
      <w:r>
        <w:rPr>
          <w:rFonts w:hint="eastAsia" w:ascii="仿宋" w:hAnsi="仿宋" w:eastAsia="仿宋" w:cs="仿宋"/>
          <w:b w:val="0"/>
          <w:color w:val="000000" w:themeColor="text1"/>
          <w:sz w:val="32"/>
          <w:szCs w:val="32"/>
          <w:highlight w:val="none"/>
          <w14:textFill>
            <w14:solidFill>
              <w14:schemeClr w14:val="tx1"/>
            </w14:solidFill>
          </w14:textFill>
        </w:rPr>
        <w:t>集团党的建设、廉政建设、思想政治工作、统战工作、精神文明建设、企业文化建设、</w:t>
      </w:r>
      <w:r>
        <w:rPr>
          <w:rFonts w:hint="eastAsia" w:ascii="仿宋" w:hAnsi="仿宋" w:eastAsia="仿宋" w:cs="仿宋"/>
          <w:b w:val="0"/>
          <w:color w:val="000000" w:themeColor="text1"/>
          <w:sz w:val="32"/>
          <w:szCs w:val="32"/>
          <w:highlight w:val="none"/>
          <w:lang w:val="en-US" w:eastAsia="zh-CN"/>
          <w14:textFill>
            <w14:solidFill>
              <w14:schemeClr w14:val="tx1"/>
            </w14:solidFill>
          </w14:textFill>
        </w:rPr>
        <w:t>民族工作、</w:t>
      </w:r>
      <w:r>
        <w:rPr>
          <w:rFonts w:hint="eastAsia" w:ascii="仿宋" w:hAnsi="仿宋" w:eastAsia="仿宋" w:cs="仿宋"/>
          <w:b w:val="0"/>
          <w:color w:val="000000" w:themeColor="text1"/>
          <w:sz w:val="32"/>
          <w:szCs w:val="32"/>
          <w:highlight w:val="none"/>
          <w14:textFill>
            <w14:solidFill>
              <w14:schemeClr w14:val="tx1"/>
            </w14:solidFill>
          </w14:textFill>
        </w:rPr>
        <w:t>工会、共青团工作的重要事项;</w:t>
      </w:r>
    </w:p>
    <w:p w14:paraId="2906285F">
      <w:pPr>
        <w:pStyle w:val="5"/>
        <w:keepNext w:val="0"/>
        <w:keepLines w:val="0"/>
        <w:pageBreakBefore w:val="0"/>
        <w:widowControl w:val="0"/>
        <w:numPr>
          <w:ilvl w:val="0"/>
          <w:numId w:val="0"/>
        </w:numPr>
        <w:kinsoku/>
        <w:wordWrap/>
        <w:overflowPunct/>
        <w:topLinePunct w:val="0"/>
        <w:autoSpaceDE/>
        <w:autoSpaceDN/>
        <w:bidi w:val="0"/>
        <w:adjustRightInd/>
        <w:snapToGrid/>
        <w:spacing w:beforeLines="0" w:afterLines="0" w:line="579" w:lineRule="exact"/>
        <w:ind w:right="74" w:rightChars="0" w:firstLine="640" w:firstLineChars="200"/>
        <w:textAlignment w:val="auto"/>
        <w:rPr>
          <w:rFonts w:hint="eastAsia" w:ascii="仿宋" w:hAnsi="仿宋" w:eastAsia="仿宋" w:cs="仿宋"/>
          <w:b w:val="0"/>
          <w:color w:val="000000" w:themeColor="text1"/>
          <w:sz w:val="32"/>
          <w:szCs w:val="32"/>
          <w:highlight w:val="none"/>
          <w14:textFill>
            <w14:solidFill>
              <w14:schemeClr w14:val="tx1"/>
            </w14:solidFill>
          </w14:textFill>
        </w:rPr>
      </w:pPr>
      <w:r>
        <w:rPr>
          <w:rFonts w:hint="eastAsia" w:ascii="仿宋" w:hAnsi="仿宋" w:eastAsia="仿宋" w:cs="仿宋"/>
          <w:b w:val="0"/>
          <w:color w:val="000000" w:themeColor="text1"/>
          <w:sz w:val="32"/>
          <w:szCs w:val="32"/>
          <w:highlight w:val="none"/>
          <w:lang w:val="en-US" w:eastAsia="zh-CN"/>
          <w14:textFill>
            <w14:solidFill>
              <w14:schemeClr w14:val="tx1"/>
            </w14:solidFill>
          </w14:textFill>
        </w:rPr>
        <w:t>2.决定</w:t>
      </w:r>
      <w:r>
        <w:rPr>
          <w:rFonts w:hint="eastAsia" w:ascii="仿宋" w:hAnsi="仿宋" w:eastAsia="仿宋" w:cs="仿宋"/>
          <w:b w:val="0"/>
          <w:color w:val="000000" w:themeColor="text1"/>
          <w:sz w:val="32"/>
          <w:szCs w:val="32"/>
          <w:highlight w:val="none"/>
          <w14:textFill>
            <w14:solidFill>
              <w14:schemeClr w14:val="tx1"/>
            </w14:solidFill>
          </w14:textFill>
        </w:rPr>
        <w:t>向上级党委呈报的重大问题请示、重要工作报告</w:t>
      </w:r>
      <w:r>
        <w:rPr>
          <w:rFonts w:hint="eastAsia" w:ascii="仿宋" w:hAnsi="仿宋" w:eastAsia="仿宋" w:cs="仿宋"/>
          <w:b w:val="0"/>
          <w:color w:val="000000" w:themeColor="text1"/>
          <w:sz w:val="32"/>
          <w:szCs w:val="32"/>
          <w:highlight w:val="none"/>
          <w:lang w:eastAsia="zh-CN"/>
          <w14:textFill>
            <w14:solidFill>
              <w14:schemeClr w14:val="tx1"/>
            </w14:solidFill>
          </w14:textFill>
        </w:rPr>
        <w:t>，</w:t>
      </w:r>
      <w:r>
        <w:rPr>
          <w:rFonts w:hint="eastAsia" w:ascii="仿宋" w:hAnsi="仿宋" w:eastAsia="仿宋" w:cs="仿宋"/>
          <w:b w:val="0"/>
          <w:color w:val="000000" w:themeColor="text1"/>
          <w:sz w:val="32"/>
          <w:szCs w:val="32"/>
          <w:highlight w:val="none"/>
          <w:lang w:val="en-US" w:eastAsia="zh-CN"/>
          <w14:textFill>
            <w14:solidFill>
              <w14:schemeClr w14:val="tx1"/>
            </w14:solidFill>
          </w14:textFill>
        </w:rPr>
        <w:t>决定党委下发的重要文件等</w:t>
      </w:r>
      <w:r>
        <w:rPr>
          <w:rFonts w:hint="eastAsia" w:ascii="仿宋" w:hAnsi="仿宋" w:eastAsia="仿宋" w:cs="仿宋"/>
          <w:b w:val="0"/>
          <w:color w:val="000000" w:themeColor="text1"/>
          <w:sz w:val="32"/>
          <w:szCs w:val="32"/>
          <w:highlight w:val="none"/>
          <w14:textFill>
            <w14:solidFill>
              <w14:schemeClr w14:val="tx1"/>
            </w14:solidFill>
          </w14:textFill>
        </w:rPr>
        <w:t>；</w:t>
      </w:r>
    </w:p>
    <w:p w14:paraId="68C00B6D">
      <w:pPr>
        <w:pStyle w:val="5"/>
        <w:keepNext w:val="0"/>
        <w:keepLines w:val="0"/>
        <w:pageBreakBefore w:val="0"/>
        <w:widowControl w:val="0"/>
        <w:numPr>
          <w:ilvl w:val="0"/>
          <w:numId w:val="0"/>
        </w:numPr>
        <w:kinsoku/>
        <w:wordWrap/>
        <w:overflowPunct/>
        <w:topLinePunct w:val="0"/>
        <w:autoSpaceDE/>
        <w:autoSpaceDN/>
        <w:bidi w:val="0"/>
        <w:adjustRightInd/>
        <w:snapToGrid/>
        <w:spacing w:beforeLines="0" w:afterLines="0" w:line="579" w:lineRule="exact"/>
        <w:ind w:right="74" w:rightChars="0" w:firstLine="640" w:firstLineChars="200"/>
        <w:textAlignment w:val="auto"/>
        <w:rPr>
          <w:rFonts w:hint="eastAsia" w:ascii="仿宋" w:hAnsi="仿宋" w:eastAsia="仿宋" w:cs="仿宋"/>
          <w:b w:val="0"/>
          <w:color w:val="000000" w:themeColor="text1"/>
          <w:sz w:val="32"/>
          <w:szCs w:val="32"/>
          <w:highlight w:val="none"/>
          <w14:textFill>
            <w14:solidFill>
              <w14:schemeClr w14:val="tx1"/>
            </w14:solidFill>
          </w14:textFill>
        </w:rPr>
      </w:pPr>
      <w:r>
        <w:rPr>
          <w:rFonts w:hint="eastAsia" w:ascii="仿宋" w:hAnsi="仿宋" w:eastAsia="仿宋" w:cs="仿宋"/>
          <w:b w:val="0"/>
          <w:color w:val="000000" w:themeColor="text1"/>
          <w:sz w:val="32"/>
          <w:szCs w:val="32"/>
          <w:highlight w:val="none"/>
          <w:lang w:val="en-US" w:eastAsia="zh-CN"/>
          <w14:textFill>
            <w14:solidFill>
              <w14:schemeClr w14:val="tx1"/>
            </w14:solidFill>
          </w14:textFill>
        </w:rPr>
        <w:t>3.决定</w:t>
      </w:r>
      <w:r>
        <w:rPr>
          <w:rFonts w:hint="eastAsia" w:ascii="仿宋" w:hAnsi="仿宋" w:eastAsia="仿宋" w:cs="仿宋"/>
          <w:b w:val="0"/>
          <w:color w:val="000000" w:themeColor="text1"/>
          <w:sz w:val="32"/>
          <w:szCs w:val="32"/>
          <w:highlight w:val="none"/>
          <w14:textFill>
            <w14:solidFill>
              <w14:schemeClr w14:val="tx1"/>
            </w14:solidFill>
          </w14:textFill>
        </w:rPr>
        <w:t>集团经理层成员违规违纪处理事项；</w:t>
      </w:r>
    </w:p>
    <w:p w14:paraId="2D8CD5EC">
      <w:pPr>
        <w:pStyle w:val="5"/>
        <w:keepNext w:val="0"/>
        <w:keepLines w:val="0"/>
        <w:pageBreakBefore w:val="0"/>
        <w:widowControl w:val="0"/>
        <w:numPr>
          <w:ilvl w:val="0"/>
          <w:numId w:val="0"/>
        </w:numPr>
        <w:kinsoku/>
        <w:wordWrap/>
        <w:overflowPunct/>
        <w:topLinePunct w:val="0"/>
        <w:autoSpaceDE/>
        <w:autoSpaceDN/>
        <w:bidi w:val="0"/>
        <w:adjustRightInd/>
        <w:snapToGrid/>
        <w:spacing w:beforeLines="0" w:afterLines="0" w:line="579" w:lineRule="exact"/>
        <w:ind w:right="74" w:rightChars="0" w:firstLine="640" w:firstLineChars="200"/>
        <w:textAlignment w:val="auto"/>
        <w:rPr>
          <w:rFonts w:hint="eastAsia" w:ascii="仿宋" w:hAnsi="仿宋" w:eastAsia="仿宋" w:cs="仿宋"/>
          <w:b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b w:val="0"/>
          <w:color w:val="000000" w:themeColor="text1"/>
          <w:sz w:val="32"/>
          <w:szCs w:val="32"/>
          <w:highlight w:val="none"/>
          <w:lang w:val="en-US" w:eastAsia="zh-CN"/>
          <w14:textFill>
            <w14:solidFill>
              <w14:schemeClr w14:val="tx1"/>
            </w14:solidFill>
          </w14:textFill>
        </w:rPr>
        <w:t>4.决定</w:t>
      </w:r>
      <w:r>
        <w:rPr>
          <w:rFonts w:hint="eastAsia" w:ascii="仿宋" w:hAnsi="仿宋" w:eastAsia="仿宋" w:cs="仿宋"/>
          <w:b w:val="0"/>
          <w:color w:val="000000" w:themeColor="text1"/>
          <w:sz w:val="32"/>
          <w:szCs w:val="32"/>
          <w:highlight w:val="none"/>
          <w14:textFill>
            <w14:solidFill>
              <w14:schemeClr w14:val="tx1"/>
            </w14:solidFill>
          </w14:textFill>
        </w:rPr>
        <w:t>集团及所属全资、控股企业中层管理人员</w:t>
      </w:r>
      <w:r>
        <w:rPr>
          <w:rFonts w:hint="eastAsia" w:ascii="仿宋" w:hAnsi="仿宋" w:eastAsia="仿宋" w:cs="仿宋"/>
          <w:b w:val="0"/>
          <w:color w:val="000000" w:themeColor="text1"/>
          <w:sz w:val="32"/>
          <w:szCs w:val="32"/>
          <w:highlight w:val="none"/>
          <w:lang w:val="en-US" w:eastAsia="zh-CN"/>
          <w14:textFill>
            <w14:solidFill>
              <w14:schemeClr w14:val="tx1"/>
            </w14:solidFill>
          </w14:textFill>
        </w:rPr>
        <w:t>考察人选、聘任、解聘、</w:t>
      </w:r>
      <w:r>
        <w:rPr>
          <w:rFonts w:hint="eastAsia" w:ascii="仿宋" w:hAnsi="仿宋" w:eastAsia="仿宋" w:cs="仿宋"/>
          <w:b w:val="0"/>
          <w:color w:val="000000" w:themeColor="text1"/>
          <w:sz w:val="32"/>
          <w:szCs w:val="32"/>
          <w:highlight w:val="none"/>
          <w14:textFill>
            <w14:solidFill>
              <w14:schemeClr w14:val="tx1"/>
            </w14:solidFill>
          </w14:textFill>
        </w:rPr>
        <w:t>违规违纪处理等事项</w:t>
      </w:r>
    </w:p>
    <w:p w14:paraId="2EC8678F">
      <w:pPr>
        <w:pStyle w:val="5"/>
        <w:keepNext w:val="0"/>
        <w:keepLines w:val="0"/>
        <w:pageBreakBefore w:val="0"/>
        <w:widowControl w:val="0"/>
        <w:numPr>
          <w:ilvl w:val="0"/>
          <w:numId w:val="0"/>
        </w:numPr>
        <w:kinsoku/>
        <w:wordWrap/>
        <w:overflowPunct/>
        <w:topLinePunct w:val="0"/>
        <w:autoSpaceDE/>
        <w:autoSpaceDN/>
        <w:bidi w:val="0"/>
        <w:adjustRightInd/>
        <w:snapToGrid/>
        <w:spacing w:beforeLines="0" w:afterLines="0" w:line="579" w:lineRule="exact"/>
        <w:ind w:right="74" w:rightChars="0" w:firstLine="640" w:firstLineChars="200"/>
        <w:textAlignment w:val="auto"/>
        <w:rPr>
          <w:rFonts w:hint="eastAsia" w:ascii="仿宋" w:hAnsi="仿宋" w:eastAsia="仿宋" w:cs="仿宋"/>
          <w:b w:val="0"/>
          <w:color w:val="000000" w:themeColor="text1"/>
          <w:sz w:val="32"/>
          <w:szCs w:val="32"/>
          <w:highlight w:val="none"/>
          <w:lang w:eastAsia="zh-CN"/>
          <w14:textFill>
            <w14:solidFill>
              <w14:schemeClr w14:val="tx1"/>
            </w14:solidFill>
          </w14:textFill>
        </w:rPr>
      </w:pPr>
      <w:r>
        <w:rPr>
          <w:rFonts w:hint="eastAsia" w:ascii="仿宋" w:hAnsi="仿宋" w:eastAsia="仿宋" w:cs="仿宋"/>
          <w:b w:val="0"/>
          <w:color w:val="000000" w:themeColor="text1"/>
          <w:sz w:val="32"/>
          <w:szCs w:val="32"/>
          <w:highlight w:val="none"/>
          <w:lang w:val="en-US" w:eastAsia="zh-CN"/>
          <w14:textFill>
            <w14:solidFill>
              <w14:schemeClr w14:val="tx1"/>
            </w14:solidFill>
          </w14:textFill>
        </w:rPr>
        <w:t>5.决定</w:t>
      </w:r>
      <w:r>
        <w:rPr>
          <w:rFonts w:hint="eastAsia" w:ascii="仿宋" w:hAnsi="仿宋" w:eastAsia="仿宋" w:cs="仿宋"/>
          <w:b w:val="0"/>
          <w:color w:val="000000" w:themeColor="text1"/>
          <w:sz w:val="32"/>
          <w:szCs w:val="32"/>
          <w:highlight w:val="none"/>
          <w14:textFill>
            <w14:solidFill>
              <w14:schemeClr w14:val="tx1"/>
            </w14:solidFill>
          </w14:textFill>
        </w:rPr>
        <w:t>党委进行表彰奖励及向上级党委推荐上报表彰奖励的劳动模范、先进集体和先进个人等的推选、提名等事项</w:t>
      </w:r>
      <w:r>
        <w:rPr>
          <w:rFonts w:hint="eastAsia" w:ascii="仿宋" w:hAnsi="仿宋" w:eastAsia="仿宋" w:cs="仿宋"/>
          <w:b w:val="0"/>
          <w:color w:val="000000" w:themeColor="text1"/>
          <w:sz w:val="32"/>
          <w:szCs w:val="32"/>
          <w:highlight w:val="none"/>
          <w:lang w:eastAsia="zh-CN"/>
          <w14:textFill>
            <w14:solidFill>
              <w14:schemeClr w14:val="tx1"/>
            </w14:solidFill>
          </w14:textFill>
        </w:rPr>
        <w:t>；</w:t>
      </w:r>
    </w:p>
    <w:p w14:paraId="62FFC657">
      <w:pPr>
        <w:pStyle w:val="5"/>
        <w:keepNext w:val="0"/>
        <w:keepLines w:val="0"/>
        <w:pageBreakBefore w:val="0"/>
        <w:widowControl w:val="0"/>
        <w:numPr>
          <w:ilvl w:val="0"/>
          <w:numId w:val="0"/>
        </w:numPr>
        <w:kinsoku/>
        <w:wordWrap/>
        <w:overflowPunct/>
        <w:topLinePunct w:val="0"/>
        <w:autoSpaceDE/>
        <w:autoSpaceDN/>
        <w:bidi w:val="0"/>
        <w:adjustRightInd/>
        <w:snapToGrid/>
        <w:spacing w:beforeLines="0" w:afterLines="0" w:line="579" w:lineRule="exact"/>
        <w:ind w:right="74" w:rightChars="0" w:firstLine="640" w:firstLineChars="200"/>
        <w:textAlignment w:val="auto"/>
        <w:rPr>
          <w:rFonts w:hint="eastAsia" w:ascii="仿宋" w:hAnsi="仿宋" w:eastAsia="仿宋" w:cs="仿宋"/>
          <w:b w:val="0"/>
          <w:color w:val="000000" w:themeColor="text1"/>
          <w:sz w:val="32"/>
          <w:szCs w:val="32"/>
          <w:highlight w:val="none"/>
          <w14:textFill>
            <w14:solidFill>
              <w14:schemeClr w14:val="tx1"/>
            </w14:solidFill>
          </w14:textFill>
        </w:rPr>
      </w:pPr>
      <w:r>
        <w:rPr>
          <w:rFonts w:hint="eastAsia" w:ascii="仿宋" w:hAnsi="仿宋" w:eastAsia="仿宋" w:cs="仿宋"/>
          <w:b w:val="0"/>
          <w:color w:val="000000" w:themeColor="text1"/>
          <w:sz w:val="32"/>
          <w:szCs w:val="32"/>
          <w:highlight w:val="none"/>
          <w:lang w:val="en-US" w:eastAsia="zh-CN"/>
          <w14:textFill>
            <w14:solidFill>
              <w14:schemeClr w14:val="tx1"/>
            </w14:solidFill>
          </w14:textFill>
        </w:rPr>
        <w:t>6.</w:t>
      </w:r>
      <w:r>
        <w:rPr>
          <w:rFonts w:hint="eastAsia" w:ascii="仿宋" w:hAnsi="仿宋" w:eastAsia="仿宋" w:cs="仿宋"/>
          <w:b w:val="0"/>
          <w:color w:val="000000" w:themeColor="text1"/>
          <w:sz w:val="32"/>
          <w:szCs w:val="32"/>
          <w:highlight w:val="none"/>
          <w14:textFill>
            <w14:solidFill>
              <w14:schemeClr w14:val="tx1"/>
            </w14:solidFill>
          </w14:textFill>
        </w:rPr>
        <w:t>其</w:t>
      </w:r>
      <w:r>
        <w:rPr>
          <w:rFonts w:hint="eastAsia" w:ascii="仿宋" w:hAnsi="仿宋" w:eastAsia="仿宋" w:cs="仿宋"/>
          <w:b w:val="0"/>
          <w:color w:val="000000" w:themeColor="text1"/>
          <w:sz w:val="32"/>
          <w:szCs w:val="32"/>
          <w:highlight w:val="none"/>
          <w:lang w:val="en-US" w:eastAsia="zh-CN"/>
          <w14:textFill>
            <w14:solidFill>
              <w14:schemeClr w14:val="tx1"/>
            </w14:solidFill>
          </w14:textFill>
        </w:rPr>
        <w:t>它</w:t>
      </w:r>
      <w:r>
        <w:rPr>
          <w:rFonts w:hint="eastAsia" w:ascii="仿宋" w:hAnsi="仿宋" w:eastAsia="仿宋" w:cs="仿宋"/>
          <w:b w:val="0"/>
          <w:color w:val="000000" w:themeColor="text1"/>
          <w:sz w:val="32"/>
          <w:szCs w:val="32"/>
          <w:highlight w:val="none"/>
          <w14:textFill>
            <w14:solidFill>
              <w14:schemeClr w14:val="tx1"/>
            </w14:solidFill>
          </w14:textFill>
        </w:rPr>
        <w:t>需党委集体研究决定的事项。</w:t>
      </w:r>
    </w:p>
    <w:p w14:paraId="35FC87A2">
      <w:pPr>
        <w:pStyle w:val="5"/>
        <w:keepNext w:val="0"/>
        <w:keepLines w:val="0"/>
        <w:pageBreakBefore w:val="0"/>
        <w:widowControl w:val="0"/>
        <w:numPr>
          <w:ilvl w:val="0"/>
          <w:numId w:val="0"/>
        </w:numPr>
        <w:kinsoku/>
        <w:wordWrap/>
        <w:overflowPunct/>
        <w:topLinePunct w:val="0"/>
        <w:autoSpaceDE/>
        <w:autoSpaceDN/>
        <w:bidi w:val="0"/>
        <w:adjustRightInd/>
        <w:snapToGrid/>
        <w:spacing w:beforeLines="0" w:afterLines="0" w:line="579" w:lineRule="exact"/>
        <w:ind w:right="74" w:rightChars="0" w:firstLine="640" w:firstLineChars="200"/>
        <w:textAlignment w:val="auto"/>
        <w:rPr>
          <w:rFonts w:hint="eastAsia" w:ascii="仿宋" w:hAnsi="仿宋" w:eastAsia="仿宋" w:cs="仿宋"/>
          <w:b w:val="0"/>
          <w:color w:val="000000" w:themeColor="text1"/>
          <w:sz w:val="32"/>
          <w:szCs w:val="32"/>
          <w:highlight w:val="none"/>
          <w:lang w:val="en-US" w:eastAsia="zh-CN"/>
          <w14:textFill>
            <w14:solidFill>
              <w14:schemeClr w14:val="tx1"/>
            </w14:solidFill>
          </w14:textFill>
        </w:rPr>
      </w:pPr>
    </w:p>
    <w:p w14:paraId="597AB4E9">
      <w:pPr>
        <w:keepNext w:val="0"/>
        <w:keepLines w:val="0"/>
        <w:pageBreakBefore w:val="0"/>
        <w:widowControl w:val="0"/>
        <w:kinsoku/>
        <w:wordWrap/>
        <w:overflowPunct/>
        <w:topLinePunct w:val="0"/>
        <w:autoSpaceDE/>
        <w:autoSpaceDN/>
        <w:bidi w:val="0"/>
        <w:adjustRightInd/>
        <w:snapToGrid/>
        <w:spacing w:beforeLines="100" w:afterLines="100" w:line="579" w:lineRule="exact"/>
        <w:jc w:val="center"/>
        <w:textAlignment w:val="auto"/>
        <w:rPr>
          <w:rFonts w:hint="eastAsia" w:ascii="黑体" w:hAnsi="黑体" w:eastAsia="黑体"/>
          <w:bCs/>
          <w:color w:val="000000" w:themeColor="text1"/>
          <w:sz w:val="32"/>
          <w:szCs w:val="32"/>
          <w14:textFill>
            <w14:solidFill>
              <w14:schemeClr w14:val="tx1"/>
            </w14:solidFill>
          </w14:textFill>
        </w:rPr>
      </w:pPr>
      <w:r>
        <w:rPr>
          <w:rFonts w:hint="eastAsia" w:ascii="黑体" w:hAnsi="黑体" w:eastAsia="黑体"/>
          <w:bCs/>
          <w:color w:val="000000" w:themeColor="text1"/>
          <w:sz w:val="32"/>
          <w:szCs w:val="32"/>
          <w14:textFill>
            <w14:solidFill>
              <w14:schemeClr w14:val="tx1"/>
            </w14:solidFill>
          </w14:textFill>
        </w:rPr>
        <w:t>第五章  党委会决策程序</w:t>
      </w:r>
    </w:p>
    <w:p w14:paraId="7BDCB846">
      <w:pPr>
        <w:pStyle w:val="5"/>
        <w:keepNext w:val="0"/>
        <w:keepLines w:val="0"/>
        <w:pageBreakBefore w:val="0"/>
        <w:widowControl w:val="0"/>
        <w:numPr>
          <w:ilvl w:val="0"/>
          <w:numId w:val="0"/>
        </w:numPr>
        <w:kinsoku/>
        <w:wordWrap/>
        <w:overflowPunct/>
        <w:topLinePunct w:val="0"/>
        <w:autoSpaceDE/>
        <w:autoSpaceDN/>
        <w:bidi w:val="0"/>
        <w:adjustRightInd/>
        <w:snapToGrid/>
        <w:spacing w:beforeLines="0" w:afterLines="0" w:line="579" w:lineRule="exact"/>
        <w:ind w:right="0" w:rightChars="0" w:firstLine="640" w:firstLineChars="200"/>
        <w:textAlignment w:val="auto"/>
        <w:rPr>
          <w:rFonts w:hint="eastAsia" w:ascii="仿宋" w:hAnsi="仿宋" w:eastAsia="仿宋" w:cs="仿宋"/>
          <w:b w:val="0"/>
          <w:color w:val="000000" w:themeColor="text1"/>
          <w:sz w:val="32"/>
          <w:szCs w:val="32"/>
          <w14:textFill>
            <w14:solidFill>
              <w14:schemeClr w14:val="tx1"/>
            </w14:solidFill>
          </w14:textFill>
        </w:rPr>
      </w:pPr>
      <w:r>
        <w:rPr>
          <w:rFonts w:hint="eastAsia" w:ascii="仿宋" w:hAnsi="仿宋" w:eastAsia="仿宋" w:cs="仿宋"/>
          <w:b w:val="0"/>
          <w:color w:val="000000" w:themeColor="text1"/>
          <w:sz w:val="32"/>
          <w:szCs w:val="32"/>
          <w:lang w:val="en-US" w:eastAsia="zh-CN"/>
          <w14:textFill>
            <w14:solidFill>
              <w14:schemeClr w14:val="tx1"/>
            </w14:solidFill>
          </w14:textFill>
        </w:rPr>
        <w:t xml:space="preserve">第十九条 </w:t>
      </w:r>
      <w:r>
        <w:rPr>
          <w:rFonts w:hint="eastAsia" w:ascii="仿宋" w:hAnsi="仿宋" w:eastAsia="仿宋" w:cs="仿宋"/>
          <w:b w:val="0"/>
          <w:color w:val="000000" w:themeColor="text1"/>
          <w:sz w:val="32"/>
          <w:szCs w:val="32"/>
          <w14:textFill>
            <w14:solidFill>
              <w14:schemeClr w14:val="tx1"/>
            </w14:solidFill>
          </w14:textFill>
        </w:rPr>
        <w:t>各单位需提交党委会研究讨论的议题，一般应提前5个工作日上报请示材料，报送集团公司党群工作部汇总，经党委书记审定后，通知与会人员会议议题并准备会议材料。</w:t>
      </w:r>
    </w:p>
    <w:p w14:paraId="71108572">
      <w:pPr>
        <w:pStyle w:val="5"/>
        <w:keepNext w:val="0"/>
        <w:keepLines w:val="0"/>
        <w:pageBreakBefore w:val="0"/>
        <w:widowControl w:val="0"/>
        <w:numPr>
          <w:ilvl w:val="0"/>
          <w:numId w:val="0"/>
        </w:numPr>
        <w:kinsoku/>
        <w:wordWrap/>
        <w:overflowPunct/>
        <w:topLinePunct w:val="0"/>
        <w:autoSpaceDE/>
        <w:autoSpaceDN/>
        <w:bidi w:val="0"/>
        <w:adjustRightInd/>
        <w:snapToGrid/>
        <w:spacing w:beforeLines="0" w:afterLines="0" w:line="579" w:lineRule="exact"/>
        <w:ind w:right="0" w:rightChars="0" w:firstLine="640" w:firstLineChars="200"/>
        <w:textAlignment w:val="auto"/>
        <w:rPr>
          <w:rFonts w:hint="eastAsia" w:ascii="仿宋" w:hAnsi="仿宋" w:eastAsia="仿宋" w:cs="仿宋"/>
          <w:b w:val="0"/>
          <w:color w:val="000000" w:themeColor="text1"/>
          <w:sz w:val="32"/>
          <w:szCs w:val="32"/>
          <w14:textFill>
            <w14:solidFill>
              <w14:schemeClr w14:val="tx1"/>
            </w14:solidFill>
          </w14:textFill>
        </w:rPr>
      </w:pPr>
      <w:r>
        <w:rPr>
          <w:rFonts w:hint="eastAsia" w:ascii="仿宋" w:hAnsi="仿宋" w:eastAsia="仿宋" w:cs="仿宋"/>
          <w:b w:val="0"/>
          <w:color w:val="000000" w:themeColor="text1"/>
          <w:sz w:val="32"/>
          <w:szCs w:val="32"/>
          <w:lang w:val="en-US" w:eastAsia="zh-CN"/>
          <w14:textFill>
            <w14:solidFill>
              <w14:schemeClr w14:val="tx1"/>
            </w14:solidFill>
          </w14:textFill>
        </w:rPr>
        <w:t xml:space="preserve">第二十条 </w:t>
      </w:r>
      <w:r>
        <w:rPr>
          <w:rFonts w:hint="eastAsia" w:ascii="仿宋" w:hAnsi="仿宋" w:eastAsia="仿宋" w:cs="仿宋"/>
          <w:b w:val="0"/>
          <w:color w:val="000000" w:themeColor="text1"/>
          <w:sz w:val="32"/>
          <w:szCs w:val="32"/>
          <w14:textFill>
            <w14:solidFill>
              <w14:schemeClr w14:val="tx1"/>
            </w14:solidFill>
          </w14:textFill>
        </w:rPr>
        <w:t>党委会在讨论决定重大事项之前，应加强调查研究，听取有关部门意见，确保决策的可行性。有关部门应事先提出书面意见；如涉及几个部门，应先行会商，取得一致意见；协商不一致，由分管该项工作的机场领导主持协调；协调不一致的，需在党委会上说明不同意见和理由。</w:t>
      </w:r>
    </w:p>
    <w:p w14:paraId="464C178A">
      <w:pPr>
        <w:pStyle w:val="5"/>
        <w:keepNext w:val="0"/>
        <w:keepLines w:val="0"/>
        <w:pageBreakBefore w:val="0"/>
        <w:widowControl w:val="0"/>
        <w:numPr>
          <w:ilvl w:val="0"/>
          <w:numId w:val="0"/>
        </w:numPr>
        <w:kinsoku/>
        <w:wordWrap/>
        <w:overflowPunct/>
        <w:topLinePunct w:val="0"/>
        <w:autoSpaceDE/>
        <w:autoSpaceDN/>
        <w:bidi w:val="0"/>
        <w:adjustRightInd/>
        <w:snapToGrid/>
        <w:spacing w:beforeLines="0" w:afterLines="0" w:line="579" w:lineRule="exact"/>
        <w:ind w:right="0" w:rightChars="0" w:firstLine="640" w:firstLineChars="200"/>
        <w:textAlignment w:val="auto"/>
        <w:rPr>
          <w:rFonts w:hint="eastAsia" w:ascii="仿宋" w:hAnsi="仿宋" w:eastAsia="仿宋" w:cs="仿宋"/>
          <w:b w:val="0"/>
          <w:color w:val="000000" w:themeColor="text1"/>
          <w:sz w:val="32"/>
          <w:szCs w:val="32"/>
          <w14:textFill>
            <w14:solidFill>
              <w14:schemeClr w14:val="tx1"/>
            </w14:solidFill>
          </w14:textFill>
        </w:rPr>
      </w:pPr>
      <w:r>
        <w:rPr>
          <w:rFonts w:hint="eastAsia" w:ascii="仿宋" w:hAnsi="仿宋" w:eastAsia="仿宋" w:cs="仿宋"/>
          <w:b w:val="0"/>
          <w:color w:val="000000" w:themeColor="text1"/>
          <w:sz w:val="32"/>
          <w:szCs w:val="32"/>
          <w:lang w:val="en-US" w:eastAsia="zh-CN"/>
          <w14:textFill>
            <w14:solidFill>
              <w14:schemeClr w14:val="tx1"/>
            </w14:solidFill>
          </w14:textFill>
        </w:rPr>
        <w:t xml:space="preserve">第二十一条 </w:t>
      </w:r>
      <w:r>
        <w:rPr>
          <w:rFonts w:hint="eastAsia" w:ascii="仿宋" w:hAnsi="仿宋" w:eastAsia="仿宋" w:cs="仿宋"/>
          <w:b w:val="0"/>
          <w:color w:val="000000" w:themeColor="text1"/>
          <w:sz w:val="32"/>
          <w:szCs w:val="32"/>
          <w14:textFill>
            <w14:solidFill>
              <w14:schemeClr w14:val="tx1"/>
            </w14:solidFill>
          </w14:textFill>
        </w:rPr>
        <w:t>党委书记与副书记、党委委员之间，对各自处理的重要问题要适时通气；对拟提交党委会讨论的重要事项要适时通气和个别酝酿；讨论决定重要问题后，要及时向未参加会议的党委委员通报会议决议情况。</w:t>
      </w:r>
    </w:p>
    <w:p w14:paraId="0B144EF9">
      <w:pPr>
        <w:pStyle w:val="5"/>
        <w:keepNext w:val="0"/>
        <w:keepLines w:val="0"/>
        <w:pageBreakBefore w:val="0"/>
        <w:widowControl w:val="0"/>
        <w:numPr>
          <w:ilvl w:val="0"/>
          <w:numId w:val="0"/>
        </w:numPr>
        <w:kinsoku/>
        <w:wordWrap/>
        <w:overflowPunct/>
        <w:topLinePunct w:val="0"/>
        <w:autoSpaceDE/>
        <w:autoSpaceDN/>
        <w:bidi w:val="0"/>
        <w:adjustRightInd/>
        <w:snapToGrid/>
        <w:spacing w:beforeLines="0" w:afterLines="0" w:line="579" w:lineRule="exact"/>
        <w:ind w:right="74" w:rightChars="0" w:firstLine="640" w:firstLineChars="200"/>
        <w:textAlignment w:val="auto"/>
        <w:rPr>
          <w:rFonts w:hint="eastAsia" w:ascii="仿宋" w:hAnsi="仿宋" w:eastAsia="仿宋" w:cs="仿宋"/>
          <w:b w:val="0"/>
          <w:color w:val="000000" w:themeColor="text1"/>
          <w:sz w:val="32"/>
          <w:szCs w:val="32"/>
          <w14:textFill>
            <w14:solidFill>
              <w14:schemeClr w14:val="tx1"/>
            </w14:solidFill>
          </w14:textFill>
        </w:rPr>
      </w:pPr>
      <w:r>
        <w:rPr>
          <w:rFonts w:hint="eastAsia" w:ascii="仿宋" w:hAnsi="仿宋" w:eastAsia="仿宋" w:cs="仿宋"/>
          <w:b w:val="0"/>
          <w:color w:val="000000" w:themeColor="text1"/>
          <w:sz w:val="32"/>
          <w:szCs w:val="32"/>
          <w:lang w:val="en-US" w:eastAsia="zh-CN"/>
          <w14:textFill>
            <w14:solidFill>
              <w14:schemeClr w14:val="tx1"/>
            </w14:solidFill>
          </w14:textFill>
        </w:rPr>
        <w:t xml:space="preserve">第二十二条 </w:t>
      </w:r>
      <w:r>
        <w:rPr>
          <w:rFonts w:hint="eastAsia" w:ascii="仿宋" w:hAnsi="仿宋" w:eastAsia="仿宋" w:cs="仿宋"/>
          <w:b w:val="0"/>
          <w:color w:val="000000" w:themeColor="text1"/>
          <w:sz w:val="32"/>
          <w:szCs w:val="32"/>
          <w14:textFill>
            <w14:solidFill>
              <w14:schemeClr w14:val="tx1"/>
            </w14:solidFill>
          </w14:textFill>
        </w:rPr>
        <w:t>党委委员对提交会议讨论的问题应充分发表意见，明确表明态度。党委书记总结归纳大家意见做出决定。</w:t>
      </w:r>
    </w:p>
    <w:p w14:paraId="6FF8D41B">
      <w:pPr>
        <w:keepNext w:val="0"/>
        <w:keepLines w:val="0"/>
        <w:pageBreakBefore w:val="0"/>
        <w:widowControl w:val="0"/>
        <w:kinsoku/>
        <w:wordWrap/>
        <w:overflowPunct/>
        <w:topLinePunct w:val="0"/>
        <w:autoSpaceDE/>
        <w:autoSpaceDN/>
        <w:bidi w:val="0"/>
        <w:adjustRightInd/>
        <w:snapToGrid/>
        <w:spacing w:beforeLines="100" w:afterLines="100" w:line="579" w:lineRule="exact"/>
        <w:jc w:val="center"/>
        <w:textAlignment w:val="auto"/>
        <w:rPr>
          <w:rFonts w:hint="eastAsia" w:ascii="黑体" w:hAnsi="黑体" w:eastAsia="黑体"/>
          <w:bCs/>
          <w:color w:val="000000" w:themeColor="text1"/>
          <w:sz w:val="32"/>
          <w:szCs w:val="32"/>
          <w14:textFill>
            <w14:solidFill>
              <w14:schemeClr w14:val="tx1"/>
            </w14:solidFill>
          </w14:textFill>
        </w:rPr>
      </w:pPr>
      <w:r>
        <w:rPr>
          <w:rFonts w:hint="eastAsia" w:ascii="黑体" w:hAnsi="黑体" w:eastAsia="黑体"/>
          <w:bCs/>
          <w:color w:val="000000" w:themeColor="text1"/>
          <w:sz w:val="32"/>
          <w:szCs w:val="32"/>
          <w14:textFill>
            <w14:solidFill>
              <w14:schemeClr w14:val="tx1"/>
            </w14:solidFill>
          </w14:textFill>
        </w:rPr>
        <w:t>第六章  会议文件和记录</w:t>
      </w:r>
    </w:p>
    <w:p w14:paraId="1A5021B6">
      <w:pPr>
        <w:pStyle w:val="5"/>
        <w:keepNext w:val="0"/>
        <w:keepLines w:val="0"/>
        <w:pageBreakBefore w:val="0"/>
        <w:widowControl w:val="0"/>
        <w:numPr>
          <w:ilvl w:val="0"/>
          <w:numId w:val="0"/>
        </w:numPr>
        <w:kinsoku/>
        <w:wordWrap/>
        <w:overflowPunct/>
        <w:topLinePunct w:val="0"/>
        <w:autoSpaceDE/>
        <w:autoSpaceDN/>
        <w:bidi w:val="0"/>
        <w:adjustRightInd/>
        <w:snapToGrid/>
        <w:spacing w:beforeLines="0" w:afterLines="0" w:line="579" w:lineRule="exact"/>
        <w:ind w:right="0" w:rightChars="0" w:firstLine="640" w:firstLineChars="200"/>
        <w:textAlignment w:val="auto"/>
        <w:rPr>
          <w:rFonts w:hint="eastAsia" w:ascii="仿宋" w:hAnsi="仿宋" w:eastAsia="仿宋" w:cs="仿宋"/>
          <w:b w:val="0"/>
          <w:color w:val="000000" w:themeColor="text1"/>
          <w:sz w:val="32"/>
          <w:szCs w:val="32"/>
          <w14:textFill>
            <w14:solidFill>
              <w14:schemeClr w14:val="tx1"/>
            </w14:solidFill>
          </w14:textFill>
        </w:rPr>
      </w:pPr>
      <w:r>
        <w:rPr>
          <w:rFonts w:hint="eastAsia" w:ascii="仿宋" w:hAnsi="仿宋" w:eastAsia="仿宋" w:cs="仿宋"/>
          <w:b w:val="0"/>
          <w:color w:val="000000" w:themeColor="text1"/>
          <w:sz w:val="32"/>
          <w:szCs w:val="32"/>
          <w:lang w:val="en-US" w:eastAsia="zh-CN"/>
          <w14:textFill>
            <w14:solidFill>
              <w14:schemeClr w14:val="tx1"/>
            </w14:solidFill>
          </w14:textFill>
        </w:rPr>
        <w:t xml:space="preserve">第二十三条 </w:t>
      </w:r>
      <w:r>
        <w:rPr>
          <w:rFonts w:hint="eastAsia" w:ascii="仿宋" w:hAnsi="仿宋" w:eastAsia="仿宋" w:cs="仿宋"/>
          <w:b w:val="0"/>
          <w:color w:val="000000" w:themeColor="text1"/>
          <w:sz w:val="32"/>
          <w:szCs w:val="32"/>
          <w14:textFill>
            <w14:solidFill>
              <w14:schemeClr w14:val="tx1"/>
            </w14:solidFill>
          </w14:textFill>
        </w:rPr>
        <w:t>会议决定重要事项应形成会议纪要，经党委书记签发后下发相关执行落实单位和党委委员。</w:t>
      </w:r>
    </w:p>
    <w:p w14:paraId="63AD109F">
      <w:pPr>
        <w:pStyle w:val="5"/>
        <w:keepNext w:val="0"/>
        <w:keepLines w:val="0"/>
        <w:pageBreakBefore w:val="0"/>
        <w:widowControl w:val="0"/>
        <w:numPr>
          <w:ilvl w:val="0"/>
          <w:numId w:val="0"/>
        </w:numPr>
        <w:kinsoku/>
        <w:wordWrap/>
        <w:overflowPunct/>
        <w:topLinePunct w:val="0"/>
        <w:autoSpaceDE/>
        <w:autoSpaceDN/>
        <w:bidi w:val="0"/>
        <w:adjustRightInd/>
        <w:snapToGrid/>
        <w:spacing w:beforeLines="0" w:afterLines="0" w:line="579" w:lineRule="exact"/>
        <w:ind w:right="0" w:rightChars="0" w:firstLine="640" w:firstLineChars="200"/>
        <w:textAlignment w:val="auto"/>
        <w:rPr>
          <w:rFonts w:hint="eastAsia" w:ascii="仿宋" w:hAnsi="仿宋" w:eastAsia="仿宋" w:cs="仿宋"/>
          <w:b w:val="0"/>
          <w:color w:val="000000" w:themeColor="text1"/>
          <w:sz w:val="32"/>
          <w:szCs w:val="32"/>
          <w14:textFill>
            <w14:solidFill>
              <w14:schemeClr w14:val="tx1"/>
            </w14:solidFill>
          </w14:textFill>
        </w:rPr>
      </w:pPr>
      <w:r>
        <w:rPr>
          <w:rFonts w:hint="eastAsia" w:ascii="仿宋" w:hAnsi="仿宋" w:eastAsia="仿宋" w:cs="仿宋"/>
          <w:b w:val="0"/>
          <w:bCs w:val="0"/>
          <w:color w:val="000000" w:themeColor="text1"/>
          <w:sz w:val="32"/>
          <w:szCs w:val="32"/>
          <w:lang w:val="en-US" w:eastAsia="zh-CN"/>
          <w14:textFill>
            <w14:solidFill>
              <w14:schemeClr w14:val="tx1"/>
            </w14:solidFill>
          </w14:textFill>
        </w:rPr>
        <w:t>第二十四条</w:t>
      </w:r>
      <w:r>
        <w:rPr>
          <w:rFonts w:hint="eastAsia" w:ascii="仿宋" w:hAnsi="仿宋" w:eastAsia="仿宋" w:cs="仿宋"/>
          <w:b w:val="0"/>
          <w:color w:val="000000" w:themeColor="text1"/>
          <w:sz w:val="32"/>
          <w:szCs w:val="32"/>
          <w:lang w:val="en-US" w:eastAsia="zh-CN"/>
          <w14:textFill>
            <w14:solidFill>
              <w14:schemeClr w14:val="tx1"/>
            </w14:solidFill>
          </w14:textFill>
        </w:rPr>
        <w:t xml:space="preserve"> </w:t>
      </w:r>
      <w:r>
        <w:rPr>
          <w:rFonts w:hint="eastAsia" w:ascii="仿宋" w:hAnsi="仿宋" w:eastAsia="仿宋" w:cs="仿宋"/>
          <w:b w:val="0"/>
          <w:color w:val="000000" w:themeColor="text1"/>
          <w:sz w:val="32"/>
          <w:szCs w:val="32"/>
          <w14:textFill>
            <w14:solidFill>
              <w14:schemeClr w14:val="tx1"/>
            </w14:solidFill>
          </w14:textFill>
        </w:rPr>
        <w:t>党委会决定事项承办单位应按会议要求，认真执行和贯彻落实，并将完成情况及时报告党委领导。</w:t>
      </w:r>
    </w:p>
    <w:p w14:paraId="6F72916B">
      <w:pPr>
        <w:pStyle w:val="5"/>
        <w:keepNext w:val="0"/>
        <w:keepLines w:val="0"/>
        <w:pageBreakBefore w:val="0"/>
        <w:widowControl w:val="0"/>
        <w:numPr>
          <w:ilvl w:val="0"/>
          <w:numId w:val="0"/>
        </w:numPr>
        <w:kinsoku/>
        <w:wordWrap/>
        <w:overflowPunct/>
        <w:topLinePunct w:val="0"/>
        <w:autoSpaceDE/>
        <w:autoSpaceDN/>
        <w:bidi w:val="0"/>
        <w:adjustRightInd/>
        <w:snapToGrid/>
        <w:spacing w:beforeLines="0" w:afterLines="0" w:line="579" w:lineRule="exact"/>
        <w:ind w:right="0" w:rightChars="0" w:firstLine="640" w:firstLineChars="200"/>
        <w:textAlignment w:val="auto"/>
        <w:rPr>
          <w:rFonts w:hint="eastAsia" w:ascii="仿宋" w:hAnsi="仿宋" w:eastAsia="仿宋" w:cs="仿宋"/>
          <w:b w:val="0"/>
          <w:color w:val="000000" w:themeColor="text1"/>
          <w:sz w:val="32"/>
          <w:szCs w:val="32"/>
          <w14:textFill>
            <w14:solidFill>
              <w14:schemeClr w14:val="tx1"/>
            </w14:solidFill>
          </w14:textFill>
        </w:rPr>
      </w:pPr>
      <w:r>
        <w:rPr>
          <w:rFonts w:hint="eastAsia" w:ascii="仿宋" w:hAnsi="仿宋" w:eastAsia="仿宋" w:cs="仿宋"/>
          <w:b w:val="0"/>
          <w:bCs w:val="0"/>
          <w:color w:val="000000" w:themeColor="text1"/>
          <w:sz w:val="32"/>
          <w:szCs w:val="32"/>
          <w:lang w:val="en-US" w:eastAsia="zh-CN"/>
          <w14:textFill>
            <w14:solidFill>
              <w14:schemeClr w14:val="tx1"/>
            </w14:solidFill>
          </w14:textFill>
        </w:rPr>
        <w:t>第二十五条</w:t>
      </w:r>
      <w:r>
        <w:rPr>
          <w:rFonts w:hint="eastAsia" w:ascii="仿宋" w:hAnsi="仿宋" w:eastAsia="仿宋" w:cs="仿宋"/>
          <w:b w:val="0"/>
          <w:color w:val="000000" w:themeColor="text1"/>
          <w:sz w:val="32"/>
          <w:szCs w:val="32"/>
          <w:lang w:val="en-US" w:eastAsia="zh-CN"/>
          <w14:textFill>
            <w14:solidFill>
              <w14:schemeClr w14:val="tx1"/>
            </w14:solidFill>
          </w14:textFill>
        </w:rPr>
        <w:t xml:space="preserve"> </w:t>
      </w:r>
      <w:r>
        <w:rPr>
          <w:rFonts w:hint="eastAsia" w:ascii="仿宋" w:hAnsi="仿宋" w:eastAsia="仿宋" w:cs="仿宋"/>
          <w:b w:val="0"/>
          <w:color w:val="000000" w:themeColor="text1"/>
          <w:sz w:val="32"/>
          <w:szCs w:val="32"/>
          <w14:textFill>
            <w14:solidFill>
              <w14:schemeClr w14:val="tx1"/>
            </w14:solidFill>
          </w14:textFill>
        </w:rPr>
        <w:t>党委会会议由党委秘书负责记录，党委秘书无法出席会议或进行会议记录时，党委书记或会议主持人应当指定其他适当的人选进行记录。</w:t>
      </w:r>
    </w:p>
    <w:p w14:paraId="3F4C91FA">
      <w:pPr>
        <w:pStyle w:val="5"/>
        <w:keepNext w:val="0"/>
        <w:keepLines w:val="0"/>
        <w:pageBreakBefore w:val="0"/>
        <w:widowControl w:val="0"/>
        <w:numPr>
          <w:ilvl w:val="0"/>
          <w:numId w:val="0"/>
        </w:numPr>
        <w:kinsoku/>
        <w:wordWrap/>
        <w:overflowPunct/>
        <w:topLinePunct w:val="0"/>
        <w:autoSpaceDE/>
        <w:autoSpaceDN/>
        <w:bidi w:val="0"/>
        <w:adjustRightInd/>
        <w:snapToGrid/>
        <w:spacing w:beforeLines="0" w:afterLines="0" w:line="579" w:lineRule="exact"/>
        <w:ind w:right="0" w:rightChars="0" w:firstLine="640" w:firstLineChars="200"/>
        <w:textAlignment w:val="auto"/>
        <w:rPr>
          <w:rFonts w:hint="eastAsia" w:ascii="仿宋" w:hAnsi="仿宋" w:eastAsia="仿宋" w:cs="仿宋"/>
          <w:b w:val="0"/>
          <w:color w:val="000000" w:themeColor="text1"/>
          <w:sz w:val="32"/>
          <w:szCs w:val="32"/>
          <w14:textFill>
            <w14:solidFill>
              <w14:schemeClr w14:val="tx1"/>
            </w14:solidFill>
          </w14:textFill>
        </w:rPr>
      </w:pPr>
      <w:r>
        <w:rPr>
          <w:rFonts w:hint="eastAsia" w:ascii="仿宋" w:hAnsi="仿宋" w:eastAsia="仿宋" w:cs="仿宋"/>
          <w:b w:val="0"/>
          <w:color w:val="000000" w:themeColor="text1"/>
          <w:sz w:val="32"/>
          <w:szCs w:val="32"/>
          <w:lang w:val="en-US" w:eastAsia="zh-CN"/>
          <w14:textFill>
            <w14:solidFill>
              <w14:schemeClr w14:val="tx1"/>
            </w14:solidFill>
          </w14:textFill>
        </w:rPr>
        <w:t xml:space="preserve">第二十六条 </w:t>
      </w:r>
      <w:r>
        <w:rPr>
          <w:rFonts w:hint="eastAsia" w:ascii="仿宋" w:hAnsi="仿宋" w:eastAsia="仿宋" w:cs="仿宋"/>
          <w:b w:val="0"/>
          <w:color w:val="000000" w:themeColor="text1"/>
          <w:sz w:val="32"/>
          <w:szCs w:val="32"/>
          <w14:textFill>
            <w14:solidFill>
              <w14:schemeClr w14:val="tx1"/>
            </w14:solidFill>
          </w14:textFill>
        </w:rPr>
        <w:t>党委会会议记录应当完整、准确地记录会议真实情况和与会委员的意见和建议。会议记录应包括以下内容：会议召开的时间、地点和主持人姓名；出席会议的委员及列席人员的姓名；会议议程；委员发言的要点；关于议题的决议；党委会认为应该记载的其他情况。</w:t>
      </w:r>
    </w:p>
    <w:p w14:paraId="3880F1C7">
      <w:pPr>
        <w:pStyle w:val="5"/>
        <w:keepNext w:val="0"/>
        <w:keepLines w:val="0"/>
        <w:pageBreakBefore w:val="0"/>
        <w:widowControl w:val="0"/>
        <w:numPr>
          <w:ilvl w:val="0"/>
          <w:numId w:val="0"/>
        </w:numPr>
        <w:kinsoku/>
        <w:wordWrap/>
        <w:overflowPunct/>
        <w:topLinePunct w:val="0"/>
        <w:autoSpaceDE/>
        <w:autoSpaceDN/>
        <w:bidi w:val="0"/>
        <w:adjustRightInd/>
        <w:snapToGrid/>
        <w:spacing w:beforeLines="0" w:afterLines="0" w:line="579" w:lineRule="exact"/>
        <w:ind w:right="0" w:rightChars="0" w:firstLine="640" w:firstLineChars="200"/>
        <w:textAlignment w:val="auto"/>
        <w:rPr>
          <w:rFonts w:hint="eastAsia" w:ascii="仿宋" w:hAnsi="仿宋" w:eastAsia="仿宋" w:cs="仿宋"/>
          <w:b w:val="0"/>
          <w:color w:val="000000" w:themeColor="text1"/>
          <w:sz w:val="32"/>
          <w:szCs w:val="32"/>
          <w14:textFill>
            <w14:solidFill>
              <w14:schemeClr w14:val="tx1"/>
            </w14:solidFill>
          </w14:textFill>
        </w:rPr>
      </w:pPr>
      <w:r>
        <w:rPr>
          <w:rFonts w:hint="eastAsia" w:ascii="仿宋" w:hAnsi="仿宋" w:eastAsia="仿宋" w:cs="仿宋"/>
          <w:b w:val="0"/>
          <w:color w:val="000000" w:themeColor="text1"/>
          <w:sz w:val="32"/>
          <w:szCs w:val="32"/>
          <w:lang w:val="en-US" w:eastAsia="zh-CN"/>
          <w14:textFill>
            <w14:solidFill>
              <w14:schemeClr w14:val="tx1"/>
            </w14:solidFill>
          </w14:textFill>
        </w:rPr>
        <w:t xml:space="preserve">第二十七条 </w:t>
      </w:r>
      <w:r>
        <w:rPr>
          <w:rFonts w:hint="eastAsia" w:ascii="仿宋" w:hAnsi="仿宋" w:eastAsia="仿宋" w:cs="仿宋"/>
          <w:b w:val="0"/>
          <w:color w:val="000000" w:themeColor="text1"/>
          <w:sz w:val="32"/>
          <w:szCs w:val="32"/>
          <w14:textFill>
            <w14:solidFill>
              <w14:schemeClr w14:val="tx1"/>
            </w14:solidFill>
          </w14:textFill>
        </w:rPr>
        <w:t>党委会记录及其附件作为企业档案由党委秘书按照档案制度予以保存。党委委员有查阅会议记录及要求复制的权利，党委秘书应当满足其上述要求。未经党委书记同意，任何人不得将会议记录带出单位或用于其他目的。</w:t>
      </w:r>
    </w:p>
    <w:p w14:paraId="1852C982">
      <w:pPr>
        <w:keepNext w:val="0"/>
        <w:keepLines w:val="0"/>
        <w:pageBreakBefore w:val="0"/>
        <w:widowControl w:val="0"/>
        <w:kinsoku/>
        <w:wordWrap/>
        <w:overflowPunct/>
        <w:topLinePunct w:val="0"/>
        <w:autoSpaceDE/>
        <w:autoSpaceDN/>
        <w:bidi w:val="0"/>
        <w:adjustRightInd/>
        <w:snapToGrid/>
        <w:spacing w:beforeLines="100" w:afterLines="100" w:line="579" w:lineRule="exact"/>
        <w:jc w:val="center"/>
        <w:textAlignment w:val="auto"/>
        <w:rPr>
          <w:rFonts w:hint="eastAsia" w:ascii="黑体" w:hAnsi="黑体" w:eastAsia="黑体"/>
          <w:bCs/>
          <w:color w:val="000000" w:themeColor="text1"/>
          <w:sz w:val="32"/>
          <w:szCs w:val="32"/>
          <w14:textFill>
            <w14:solidFill>
              <w14:schemeClr w14:val="tx1"/>
            </w14:solidFill>
          </w14:textFill>
        </w:rPr>
      </w:pPr>
      <w:r>
        <w:rPr>
          <w:rFonts w:hint="eastAsia" w:ascii="黑体" w:hAnsi="黑体" w:eastAsia="黑体"/>
          <w:bCs/>
          <w:color w:val="000000" w:themeColor="text1"/>
          <w:sz w:val="32"/>
          <w:szCs w:val="32"/>
          <w14:textFill>
            <w14:solidFill>
              <w14:schemeClr w14:val="tx1"/>
            </w14:solidFill>
          </w14:textFill>
        </w:rPr>
        <w:t>第七章  附 则</w:t>
      </w:r>
    </w:p>
    <w:p w14:paraId="62421299">
      <w:pPr>
        <w:pStyle w:val="5"/>
        <w:keepNext w:val="0"/>
        <w:keepLines w:val="0"/>
        <w:pageBreakBefore w:val="0"/>
        <w:widowControl w:val="0"/>
        <w:numPr>
          <w:ilvl w:val="0"/>
          <w:numId w:val="0"/>
        </w:numPr>
        <w:kinsoku/>
        <w:wordWrap/>
        <w:overflowPunct/>
        <w:topLinePunct w:val="0"/>
        <w:autoSpaceDE/>
        <w:autoSpaceDN/>
        <w:bidi w:val="0"/>
        <w:adjustRightInd/>
        <w:snapToGrid/>
        <w:spacing w:beforeLines="0" w:afterLines="0" w:line="579" w:lineRule="exact"/>
        <w:ind w:right="0" w:rightChars="0" w:firstLine="640" w:firstLineChars="200"/>
        <w:textAlignment w:val="auto"/>
        <w:rPr>
          <w:rFonts w:hint="eastAsia" w:ascii="仿宋" w:hAnsi="仿宋" w:eastAsia="仿宋" w:cs="仿宋"/>
          <w:b w:val="0"/>
          <w:color w:val="000000" w:themeColor="text1"/>
          <w:sz w:val="32"/>
          <w:szCs w:val="32"/>
          <w14:textFill>
            <w14:solidFill>
              <w14:schemeClr w14:val="tx1"/>
            </w14:solidFill>
          </w14:textFill>
        </w:rPr>
      </w:pPr>
      <w:r>
        <w:rPr>
          <w:rFonts w:hint="eastAsia" w:ascii="仿宋" w:hAnsi="仿宋" w:eastAsia="仿宋" w:cs="仿宋"/>
          <w:b w:val="0"/>
          <w:color w:val="000000" w:themeColor="text1"/>
          <w:sz w:val="32"/>
          <w:szCs w:val="32"/>
          <w:lang w:val="en-US" w:eastAsia="zh-CN"/>
          <w14:textFill>
            <w14:solidFill>
              <w14:schemeClr w14:val="tx1"/>
            </w14:solidFill>
          </w14:textFill>
        </w:rPr>
        <w:t xml:space="preserve">第二十八条 </w:t>
      </w:r>
      <w:r>
        <w:rPr>
          <w:rFonts w:hint="eastAsia" w:ascii="仿宋" w:hAnsi="仿宋" w:eastAsia="仿宋" w:cs="仿宋"/>
          <w:b w:val="0"/>
          <w:color w:val="000000" w:themeColor="text1"/>
          <w:sz w:val="32"/>
          <w:szCs w:val="32"/>
          <w14:textFill>
            <w14:solidFill>
              <w14:schemeClr w14:val="tx1"/>
            </w14:solidFill>
          </w14:textFill>
        </w:rPr>
        <w:t>本规则由党群工作部负责解释。</w:t>
      </w:r>
    </w:p>
    <w:p w14:paraId="317D4E26">
      <w:pPr>
        <w:pStyle w:val="5"/>
        <w:keepNext w:val="0"/>
        <w:keepLines w:val="0"/>
        <w:pageBreakBefore w:val="0"/>
        <w:widowControl w:val="0"/>
        <w:numPr>
          <w:ilvl w:val="0"/>
          <w:numId w:val="0"/>
        </w:numPr>
        <w:kinsoku/>
        <w:wordWrap/>
        <w:overflowPunct/>
        <w:topLinePunct w:val="0"/>
        <w:autoSpaceDE/>
        <w:autoSpaceDN/>
        <w:bidi w:val="0"/>
        <w:adjustRightInd/>
        <w:snapToGrid/>
        <w:spacing w:beforeLines="0" w:afterLines="0" w:line="579" w:lineRule="exact"/>
        <w:ind w:right="0" w:rightChars="0"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b w:val="0"/>
          <w:color w:val="000000" w:themeColor="text1"/>
          <w:sz w:val="32"/>
          <w:szCs w:val="32"/>
          <w:lang w:val="en-US" w:eastAsia="zh-CN"/>
          <w14:textFill>
            <w14:solidFill>
              <w14:schemeClr w14:val="tx1"/>
            </w14:solidFill>
          </w14:textFill>
        </w:rPr>
        <w:t xml:space="preserve">第二十九条 </w:t>
      </w:r>
      <w:r>
        <w:rPr>
          <w:rFonts w:hint="eastAsia" w:ascii="仿宋" w:hAnsi="仿宋" w:eastAsia="仿宋" w:cs="仿宋"/>
          <w:b w:val="0"/>
          <w:color w:val="000000" w:themeColor="text1"/>
          <w:sz w:val="32"/>
          <w:szCs w:val="32"/>
          <w14:textFill>
            <w14:solidFill>
              <w14:schemeClr w14:val="tx1"/>
            </w14:solidFill>
          </w14:textFill>
        </w:rPr>
        <w:t>本规则自下发之日起</w:t>
      </w:r>
      <w:r>
        <w:rPr>
          <w:rFonts w:hint="eastAsia" w:ascii="仿宋" w:hAnsi="仿宋" w:eastAsia="仿宋" w:cs="仿宋"/>
          <w:b w:val="0"/>
          <w:color w:val="000000" w:themeColor="text1"/>
          <w:sz w:val="32"/>
          <w:szCs w:val="32"/>
          <w:lang w:val="en-US" w:eastAsia="zh-CN"/>
          <w14:textFill>
            <w14:solidFill>
              <w14:schemeClr w14:val="tx1"/>
            </w14:solidFill>
          </w14:textFill>
        </w:rPr>
        <w:t>实施</w:t>
      </w:r>
      <w:r>
        <w:rPr>
          <w:rFonts w:hint="eastAsia" w:ascii="仿宋" w:hAnsi="仿宋" w:eastAsia="仿宋" w:cs="仿宋"/>
          <w:b w:val="0"/>
          <w:color w:val="000000" w:themeColor="text1"/>
          <w:sz w:val="32"/>
          <w:szCs w:val="32"/>
          <w14:textFill>
            <w14:solidFill>
              <w14:schemeClr w14:val="tx1"/>
            </w14:solidFill>
          </w14:textFill>
        </w:rPr>
        <w:t>。</w:t>
      </w:r>
    </w:p>
    <w:p w14:paraId="3794769A"/>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DE78E76"/>
    <w:multiLevelType w:val="singleLevel"/>
    <w:tmpl w:val="9DE78E76"/>
    <w:lvl w:ilvl="0" w:tentative="0">
      <w:start w:val="1"/>
      <w:numFmt w:val="chineseCounting"/>
      <w:suff w:val="nothing"/>
      <w:lvlText w:val="第%1条 "/>
      <w:lvlJc w:val="left"/>
      <w:pPr>
        <w:ind w:left="0" w:firstLine="420"/>
      </w:pPr>
      <w:rPr>
        <w:rFonts w:hint="eastAsia" w:eastAsia="楷体"/>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7096741"/>
    <w:rsid w:val="07096741"/>
    <w:rsid w:val="0BAC23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32"/>
      <w:szCs w:val="32"/>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qFormat/>
    <w:uiPriority w:val="0"/>
    <w:pPr>
      <w:spacing w:after="120" w:afterLines="0" w:afterAutospacing="0"/>
    </w:pPr>
  </w:style>
  <w:style w:type="paragraph" w:customStyle="1" w:styleId="5">
    <w:name w:val="手册标题1"/>
    <w:basedOn w:val="1"/>
    <w:qFormat/>
    <w:uiPriority w:val="0"/>
    <w:pPr>
      <w:spacing w:beforeLines="100" w:afterLines="50" w:line="360" w:lineRule="auto"/>
      <w:ind w:right="74"/>
      <w:outlineLvl w:val="1"/>
    </w:pPr>
    <w:rPr>
      <w:b/>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1176</Words>
  <Characters>1176</Characters>
  <Lines>0</Lines>
  <Paragraphs>0</Paragraphs>
  <TotalTime>7</TotalTime>
  <ScaleCrop>false</ScaleCrop>
  <LinksUpToDate>false</LinksUpToDate>
  <CharactersWithSpaces>1184</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2024-12-11T08:37:00Z</dcterms:created>
  <dc:creator>Soul%20%20Mate</dc:creator>
  <cp:lastModifiedBy>Soul%20%20Mate</cp:lastModifiedBy>
  <dcterms:modified xsi:type="dcterms:W3CDTF">2024-12-23T06:42:21Z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9DA680EE39A04D7496166A484BB11105_11</vt:lpwstr>
  </property>
</Properties>
</file>